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633EB">
      <w:pPr>
        <w:rPr>
          <w:rFonts w:hint="eastAsia"/>
        </w:rPr>
      </w:pPr>
    </w:p>
    <w:p w14:paraId="1FA29644">
      <w:pPr>
        <w:rPr>
          <w:rFonts w:hint="eastAsia"/>
        </w:rPr>
      </w:pPr>
      <w:r>
        <w:rPr>
          <w:rFonts w:hint="eastAsia" w:ascii="宋体" w:eastAsia="黑体" w:cs="黑体"/>
          <w:b/>
          <w:bCs/>
          <w:sz w:val="24"/>
          <w:szCs w:val="24"/>
        </w:rPr>
        <w:t>合同编号：</w:t>
      </w:r>
      <w:r>
        <w:rPr>
          <w:rFonts w:ascii="宋体" w:eastAsia="黑体" w:cs="宋体"/>
          <w:b/>
          <w:bCs/>
          <w:sz w:val="24"/>
          <w:szCs w:val="24"/>
          <w:u w:val="thick"/>
        </w:rPr>
        <w:t xml:space="preserve">              </w:t>
      </w:r>
      <w:r>
        <w:rPr>
          <w:rFonts w:hint="eastAsia" w:ascii="宋体" w:eastAsia="黑体" w:cs="宋体"/>
          <w:b/>
          <w:bCs/>
          <w:sz w:val="24"/>
          <w:szCs w:val="24"/>
          <w:u w:val="thick"/>
        </w:rPr>
        <w:t xml:space="preserve">   </w:t>
      </w:r>
      <w:r>
        <w:rPr>
          <w:rFonts w:ascii="宋体" w:eastAsia="黑体" w:cs="宋体"/>
          <w:b/>
          <w:bCs/>
          <w:sz w:val="24"/>
          <w:szCs w:val="24"/>
          <w:u w:val="thick"/>
        </w:rPr>
        <w:t xml:space="preserve">     </w:t>
      </w:r>
    </w:p>
    <w:p w14:paraId="3B6B64A7">
      <w:pPr>
        <w:rPr>
          <w:rFonts w:hint="eastAsia"/>
        </w:rPr>
      </w:pPr>
    </w:p>
    <w:p w14:paraId="22012C1E">
      <w:pPr>
        <w:rPr>
          <w:rFonts w:hint="eastAsia"/>
        </w:rPr>
      </w:pPr>
    </w:p>
    <w:p w14:paraId="22063F63">
      <w:pPr>
        <w:rPr>
          <w:rFonts w:hint="eastAsia"/>
        </w:rPr>
      </w:pPr>
    </w:p>
    <w:p w14:paraId="64BA6D30">
      <w:pPr>
        <w:rPr>
          <w:rFonts w:hint="eastAsia"/>
        </w:rPr>
      </w:pPr>
    </w:p>
    <w:p w14:paraId="5EFBBB6E">
      <w:pPr>
        <w:rPr>
          <w:rFonts w:hint="eastAsia"/>
        </w:rPr>
      </w:pPr>
      <w:r>
        <w:drawing>
          <wp:anchor distT="0" distB="0" distL="114300" distR="114300" simplePos="0" relativeHeight="251660288" behindDoc="0" locked="0" layoutInCell="1" allowOverlap="1">
            <wp:simplePos x="0" y="0"/>
            <wp:positionH relativeFrom="margin">
              <wp:align>center</wp:align>
            </wp:positionH>
            <wp:positionV relativeFrom="paragraph">
              <wp:posOffset>13335</wp:posOffset>
            </wp:positionV>
            <wp:extent cx="1558925" cy="1577975"/>
            <wp:effectExtent l="0" t="0" r="3175" b="3175"/>
            <wp:wrapNone/>
            <wp:docPr id="1388967515"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67515" name="图片 1" descr="徽标, 公司名称&#10;&#10;描述已自动生成"/>
                    <pic:cNvPicPr>
                      <a:picLocks noChangeAspect="1" noChangeArrowheads="1"/>
                    </pic:cNvPicPr>
                  </pic:nvPicPr>
                  <pic:blipFill>
                    <a:blip r:embed="rId6" cstate="print">
                      <a:alphaModFix amt="70000"/>
                      <a:extLst>
                        <a:ext uri="{28A0092B-C50C-407E-A947-70E740481C1C}">
                          <a14:useLocalDpi xmlns:a14="http://schemas.microsoft.com/office/drawing/2010/main" val="0"/>
                        </a:ext>
                      </a:extLst>
                    </a:blip>
                    <a:srcRect l="23182" t="10729" r="23166" b="34968"/>
                    <a:stretch>
                      <a:fillRect/>
                    </a:stretch>
                  </pic:blipFill>
                  <pic:spPr>
                    <a:xfrm>
                      <a:off x="0" y="0"/>
                      <a:ext cx="1559169" cy="1578101"/>
                    </a:xfrm>
                    <a:prstGeom prst="rect">
                      <a:avLst/>
                    </a:prstGeom>
                    <a:noFill/>
                    <a:ln>
                      <a:noFill/>
                    </a:ln>
                  </pic:spPr>
                </pic:pic>
              </a:graphicData>
            </a:graphic>
          </wp:anchor>
        </w:drawing>
      </w:r>
    </w:p>
    <w:p w14:paraId="7A524180">
      <w:pPr>
        <w:rPr>
          <w:rFonts w:hint="eastAsia"/>
        </w:rPr>
      </w:pPr>
    </w:p>
    <w:p w14:paraId="40A7C3D6">
      <w:pPr>
        <w:rPr>
          <w:rFonts w:hint="eastAsia"/>
        </w:rPr>
      </w:pPr>
    </w:p>
    <w:p w14:paraId="7F10B7CA">
      <w:pPr>
        <w:rPr>
          <w:rFonts w:hint="eastAsia"/>
        </w:rPr>
      </w:pPr>
    </w:p>
    <w:p w14:paraId="3F67B26D">
      <w:pPr>
        <w:rPr>
          <w:rFonts w:hint="eastAsia"/>
        </w:rPr>
      </w:pPr>
    </w:p>
    <w:p w14:paraId="0834C4C3">
      <w:pPr>
        <w:rPr>
          <w:rFonts w:hint="eastAsia"/>
        </w:rPr>
      </w:pPr>
    </w:p>
    <w:p w14:paraId="6B6D130D">
      <w:pPr>
        <w:rPr>
          <w:rFonts w:hint="eastAsia"/>
        </w:rPr>
      </w:pPr>
    </w:p>
    <w:p w14:paraId="5280CBFD">
      <w:pPr>
        <w:rPr>
          <w:rFonts w:hint="eastAsia"/>
        </w:rPr>
      </w:pPr>
    </w:p>
    <w:p w14:paraId="321E82E6">
      <w:pPr>
        <w:rPr>
          <w:rFonts w:hint="eastAsia"/>
        </w:rPr>
      </w:pPr>
    </w:p>
    <w:p w14:paraId="57909129">
      <w:pPr>
        <w:spacing w:line="360" w:lineRule="exact"/>
        <w:jc w:val="center"/>
        <w:rPr>
          <w:rFonts w:hint="eastAsia" w:ascii="宋体" w:eastAsia="黑体" w:cs="黑体"/>
          <w:b/>
          <w:bCs/>
          <w:sz w:val="36"/>
          <w:szCs w:val="36"/>
        </w:rPr>
      </w:pPr>
      <w:r>
        <w:rPr>
          <w:rFonts w:hint="eastAsia" w:ascii="宋体" w:eastAsia="黑体" w:cs="黑体"/>
          <w:b/>
          <w:bCs/>
          <w:sz w:val="36"/>
          <w:szCs w:val="36"/>
        </w:rPr>
        <w:t>青岛华中世纪认证有限公司</w:t>
      </w:r>
    </w:p>
    <w:p w14:paraId="601DC967">
      <w:pPr>
        <w:spacing w:line="240" w:lineRule="exact"/>
        <w:jc w:val="center"/>
        <w:rPr>
          <w:rFonts w:hint="eastAsia" w:eastAsia="黑体"/>
          <w:b/>
          <w:bCs/>
          <w:szCs w:val="21"/>
        </w:rPr>
      </w:pPr>
      <w:r>
        <w:rPr>
          <w:rFonts w:eastAsia="黑体"/>
          <w:b/>
          <w:bCs/>
          <w:szCs w:val="21"/>
        </w:rPr>
        <w:t>Qingdao Huazhong Century Certification Co.,Ltd.</w:t>
      </w:r>
    </w:p>
    <w:p w14:paraId="71C469C1">
      <w:pPr>
        <w:rPr>
          <w:rFonts w:hint="eastAsia"/>
        </w:rPr>
      </w:pPr>
    </w:p>
    <w:p w14:paraId="1719FC30">
      <w:pPr>
        <w:rPr>
          <w:rFonts w:hint="eastAsia"/>
        </w:rPr>
      </w:pPr>
    </w:p>
    <w:p w14:paraId="5AEC86A4">
      <w:pPr>
        <w:rPr>
          <w:rFonts w:hint="eastAsia"/>
        </w:rPr>
      </w:pPr>
    </w:p>
    <w:p w14:paraId="3EF62D2D">
      <w:pPr>
        <w:rPr>
          <w:rFonts w:hint="eastAsia"/>
        </w:rPr>
      </w:pPr>
    </w:p>
    <w:p w14:paraId="052FEAE6">
      <w:pPr>
        <w:jc w:val="center"/>
        <w:rPr>
          <w:rFonts w:hint="eastAsia"/>
          <w:b/>
          <w:bCs/>
          <w:spacing w:val="40"/>
          <w:sz w:val="84"/>
          <w:szCs w:val="84"/>
        </w:rPr>
      </w:pPr>
      <w:r>
        <w:rPr>
          <w:rFonts w:hint="eastAsia"/>
          <w:b/>
          <w:bCs/>
          <w:spacing w:val="40"/>
          <w:sz w:val="84"/>
          <w:szCs w:val="84"/>
        </w:rPr>
        <w:t>认证合同</w:t>
      </w:r>
    </w:p>
    <w:p w14:paraId="1A531AFA">
      <w:pPr>
        <w:rPr>
          <w:rFonts w:hint="eastAsia"/>
        </w:rPr>
      </w:pPr>
    </w:p>
    <w:p w14:paraId="013E9CC0">
      <w:pPr>
        <w:rPr>
          <w:rFonts w:hint="eastAsia"/>
        </w:rPr>
      </w:pPr>
    </w:p>
    <w:p w14:paraId="5A102081">
      <w:pPr>
        <w:rPr>
          <w:rFonts w:hint="eastAsia"/>
        </w:rPr>
      </w:pPr>
    </w:p>
    <w:p w14:paraId="37BBDBE4">
      <w:pPr>
        <w:rPr>
          <w:rFonts w:hint="eastAsia"/>
        </w:rPr>
      </w:pPr>
    </w:p>
    <w:p w14:paraId="3CEF95C4">
      <w:pPr>
        <w:rPr>
          <w:rFonts w:hint="eastAsia"/>
        </w:rPr>
      </w:pPr>
    </w:p>
    <w:p w14:paraId="4E51552C">
      <w:pPr>
        <w:rPr>
          <w:rFonts w:hint="eastAsia"/>
        </w:rPr>
      </w:pPr>
    </w:p>
    <w:p w14:paraId="213D5214">
      <w:pPr>
        <w:rPr>
          <w:rFonts w:hint="eastAsia"/>
        </w:rPr>
      </w:pPr>
    </w:p>
    <w:p w14:paraId="48827B9E">
      <w:pPr>
        <w:rPr>
          <w:rFonts w:hint="eastAsia"/>
        </w:rPr>
      </w:pPr>
    </w:p>
    <w:p w14:paraId="50CD38A2">
      <w:pPr>
        <w:rPr>
          <w:rFonts w:hint="eastAsia"/>
        </w:rPr>
      </w:pPr>
    </w:p>
    <w:p w14:paraId="6C028FB1">
      <w:pPr>
        <w:rPr>
          <w:rFonts w:hint="eastAsia"/>
        </w:rPr>
      </w:pPr>
    </w:p>
    <w:p w14:paraId="394F6845">
      <w:pPr>
        <w:ind w:firstLine="1606" w:firstLineChars="500"/>
        <w:rPr>
          <w:rFonts w:hint="eastAsia" w:eastAsia="黑体" w:cs="黑体"/>
          <w:sz w:val="32"/>
          <w:szCs w:val="32"/>
          <w:u w:val="thick"/>
        </w:rPr>
      </w:pPr>
      <w:r>
        <w:rPr>
          <w:rFonts w:hint="eastAsia" w:eastAsia="黑体" w:cs="黑体"/>
          <w:b/>
          <w:bCs/>
          <w:sz w:val="32"/>
          <w:szCs w:val="32"/>
        </w:rPr>
        <w:t>委托方（甲方）：</w:t>
      </w:r>
      <w:r>
        <w:rPr>
          <w:rFonts w:hint="eastAsia" w:eastAsia="黑体" w:cs="黑体"/>
          <w:b/>
          <w:bCs/>
          <w:sz w:val="32"/>
          <w:szCs w:val="32"/>
          <w:u w:val="thick"/>
        </w:rPr>
        <w:t xml:space="preserve"> </w:t>
      </w:r>
      <w:r>
        <w:rPr>
          <w:rFonts w:eastAsia="黑体" w:cs="黑体"/>
          <w:b/>
          <w:bCs/>
          <w:sz w:val="32"/>
          <w:szCs w:val="32"/>
          <w:u w:val="thick"/>
        </w:rPr>
        <w:t xml:space="preserve">   </w:t>
      </w:r>
      <w:r>
        <w:rPr>
          <w:rFonts w:eastAsia="黑体" w:cs="黑体"/>
          <w:sz w:val="32"/>
          <w:szCs w:val="32"/>
          <w:u w:val="thick"/>
        </w:rPr>
        <w:t xml:space="preserve">                    </w:t>
      </w:r>
    </w:p>
    <w:p w14:paraId="365FF95B">
      <w:pPr>
        <w:spacing w:before="156" w:beforeLines="50"/>
        <w:ind w:firstLine="1606" w:firstLineChars="500"/>
        <w:rPr>
          <w:rFonts w:hint="eastAsia" w:eastAsia="黑体" w:cs="黑体"/>
          <w:b/>
          <w:bCs/>
          <w:sz w:val="32"/>
          <w:szCs w:val="32"/>
          <w:u w:val="thick"/>
        </w:rPr>
      </w:pPr>
      <w:r>
        <w:rPr>
          <w:rFonts w:hint="eastAsia" w:eastAsia="黑体" w:cs="黑体"/>
          <w:b/>
          <w:bCs/>
          <w:sz w:val="32"/>
          <w:szCs w:val="32"/>
        </w:rPr>
        <w:t>认证方（乙方）：</w:t>
      </w:r>
      <w:r>
        <w:rPr>
          <w:rFonts w:hint="eastAsia" w:eastAsia="黑体" w:cs="黑体"/>
          <w:b/>
          <w:bCs/>
          <w:sz w:val="32"/>
          <w:szCs w:val="32"/>
          <w:u w:val="thick"/>
        </w:rPr>
        <w:t>青岛华中世纪认证有限公司</w:t>
      </w:r>
    </w:p>
    <w:p w14:paraId="1AEDED2E">
      <w:pPr>
        <w:rPr>
          <w:rFonts w:hint="eastAsia"/>
        </w:rPr>
      </w:pPr>
    </w:p>
    <w:p w14:paraId="1A98E852">
      <w:pPr>
        <w:rPr>
          <w:rFonts w:hint="eastAsia"/>
        </w:rPr>
        <w:sectPr>
          <w:pgSz w:w="11906" w:h="16838"/>
          <w:pgMar w:top="1134" w:right="1134" w:bottom="1134" w:left="1134" w:header="851" w:footer="680" w:gutter="0"/>
          <w:cols w:space="425" w:num="1"/>
          <w:docGrid w:type="lines" w:linePitch="312" w:charSpace="0"/>
        </w:sectPr>
      </w:pPr>
    </w:p>
    <w:p w14:paraId="0CB80813">
      <w:pPr>
        <w:spacing w:line="276" w:lineRule="auto"/>
        <w:ind w:firstLine="420" w:firstLineChars="200"/>
        <w:rPr>
          <w:rFonts w:hint="eastAsia" w:ascii="宋体" w:hAnsi="宋体" w:eastAsia="宋体"/>
        </w:rPr>
      </w:pPr>
      <w:r>
        <w:rPr>
          <w:rFonts w:hint="eastAsia" w:ascii="宋体" w:hAnsi="宋体" w:eastAsia="宋体"/>
        </w:rPr>
        <w:t>依据《中华人民共和国民法典》、《中华人民共和国认证认可条例》、《认证机构管理办法》之规定，甲乙双方就管理体系/服务认证项目，经平等协商，在真实、充分地表达各方意愿的基础上，签订本合同，双方共同遵守履行。</w:t>
      </w:r>
    </w:p>
    <w:p w14:paraId="23487319">
      <w:pPr>
        <w:pStyle w:val="32"/>
        <w:numPr>
          <w:ilvl w:val="0"/>
          <w:numId w:val="1"/>
        </w:numPr>
        <w:spacing w:before="156" w:beforeLines="50" w:line="276" w:lineRule="auto"/>
        <w:ind w:left="426" w:hanging="454"/>
        <w:contextualSpacing w:val="0"/>
        <w:outlineLvl w:val="0"/>
        <w:rPr>
          <w:rFonts w:hint="eastAsia" w:ascii="宋体" w:hAnsi="宋体" w:eastAsia="宋体"/>
          <w:b/>
          <w:bCs/>
        </w:rPr>
      </w:pPr>
      <w:r>
        <w:rPr>
          <w:rFonts w:hint="eastAsia" w:ascii="宋体" w:hAnsi="宋体" w:eastAsia="宋体"/>
          <w:b/>
          <w:bCs/>
        </w:rPr>
        <w:t>合同类型</w:t>
      </w:r>
    </w:p>
    <w:p w14:paraId="2D743DD5">
      <w:pPr>
        <w:pStyle w:val="32"/>
        <w:spacing w:line="276" w:lineRule="auto"/>
        <w:ind w:left="0"/>
        <w:jc w:val="center"/>
        <w:rPr>
          <w:rFonts w:hint="eastAsia" w:ascii="宋体" w:hAnsi="宋体" w:eastAsia="宋体"/>
        </w:rPr>
      </w:pPr>
      <w:sdt>
        <w:sdtPr>
          <w:rPr>
            <w:rFonts w:ascii="宋体" w:hAnsi="宋体" w:eastAsia="宋体"/>
          </w:rPr>
          <w:id w:val="1187794010"/>
          <w14:checkbox>
            <w14:checked w14:val="0"/>
            <w14:checkedState w14:val="25A0" w14:font="宋体"/>
            <w14:uncheckedState w14:val="2610" w14:font="MS Gothic"/>
          </w14:checkbox>
        </w:sdtPr>
        <w:sdtEndPr>
          <w:rPr>
            <w:rFonts w:ascii="宋体" w:hAnsi="宋体" w:eastAsia="宋体"/>
          </w:rPr>
        </w:sdtEndPr>
        <w:sdtContent>
          <w:r>
            <w:rPr>
              <w:rFonts w:hint="eastAsia" w:ascii="MS Gothic" w:hAnsi="MS Gothic" w:eastAsia="MS Gothic"/>
            </w:rPr>
            <w:t>☐</w:t>
          </w:r>
        </w:sdtContent>
      </w:sdt>
      <w:r>
        <w:rPr>
          <w:rFonts w:ascii="宋体" w:hAnsi="宋体" w:eastAsia="宋体"/>
        </w:rPr>
        <w:t>初次认证</w:t>
      </w:r>
      <w:r>
        <w:rPr>
          <w:rFonts w:hint="eastAsia" w:ascii="宋体" w:hAnsi="宋体" w:eastAsia="宋体"/>
        </w:rPr>
        <w:t xml:space="preserve"> </w:t>
      </w:r>
      <w:r>
        <w:rPr>
          <w:rFonts w:ascii="宋体" w:hAnsi="宋体" w:eastAsia="宋体"/>
        </w:rPr>
        <w:t xml:space="preserve">   </w:t>
      </w:r>
      <w:sdt>
        <w:sdtPr>
          <w:rPr>
            <w:rFonts w:ascii="宋体" w:hAnsi="宋体" w:eastAsia="宋体"/>
          </w:rPr>
          <w:id w:val="252941453"/>
          <w14:checkbox>
            <w14:checked w14:val="0"/>
            <w14:checkedState w14:val="25A0" w14:font="宋体"/>
            <w14:uncheckedState w14:val="2610" w14:font="MS Gothic"/>
          </w14:checkbox>
        </w:sdtPr>
        <w:sdtEndPr>
          <w:rPr>
            <w:rFonts w:ascii="宋体" w:hAnsi="宋体" w:eastAsia="宋体"/>
          </w:rPr>
        </w:sdtEndPr>
        <w:sdtContent>
          <w:r>
            <w:rPr>
              <w:rFonts w:hint="eastAsia" w:ascii="MS Gothic" w:hAnsi="MS Gothic" w:eastAsia="MS Gothic"/>
            </w:rPr>
            <w:t>☐</w:t>
          </w:r>
        </w:sdtContent>
      </w:sdt>
      <w:r>
        <w:rPr>
          <w:rFonts w:ascii="宋体" w:hAnsi="宋体" w:eastAsia="宋体"/>
        </w:rPr>
        <w:t>再认证</w:t>
      </w:r>
      <w:r>
        <w:rPr>
          <w:rFonts w:hint="eastAsia" w:ascii="宋体" w:hAnsi="宋体" w:eastAsia="宋体"/>
        </w:rPr>
        <w:t xml:space="preserve"> </w:t>
      </w:r>
      <w:r>
        <w:rPr>
          <w:rFonts w:ascii="宋体" w:hAnsi="宋体" w:eastAsia="宋体"/>
        </w:rPr>
        <w:t xml:space="preserve">   </w:t>
      </w:r>
      <w:sdt>
        <w:sdtPr>
          <w:rPr>
            <w:rFonts w:ascii="宋体" w:hAnsi="宋体" w:eastAsia="宋体"/>
          </w:rPr>
          <w:id w:val="2120100497"/>
          <w14:checkbox>
            <w14:checked w14:val="0"/>
            <w14:checkedState w14:val="25A0" w14:font="宋体"/>
            <w14:uncheckedState w14:val="2610" w14:font="MS Gothic"/>
          </w14:checkbox>
        </w:sdtPr>
        <w:sdtEndPr>
          <w:rPr>
            <w:rFonts w:ascii="宋体" w:hAnsi="宋体" w:eastAsia="宋体"/>
          </w:rPr>
        </w:sdtEndPr>
        <w:sdtContent>
          <w:r>
            <w:rPr>
              <w:rFonts w:hint="eastAsia" w:ascii="MS Gothic" w:hAnsi="MS Gothic" w:eastAsia="MS Gothic"/>
            </w:rPr>
            <w:t>☐</w:t>
          </w:r>
        </w:sdtContent>
      </w:sdt>
      <w:r>
        <w:rPr>
          <w:rFonts w:hint="eastAsia" w:ascii="宋体" w:hAnsi="宋体" w:eastAsia="宋体"/>
        </w:rPr>
        <w:t>特殊审核</w:t>
      </w:r>
    </w:p>
    <w:p w14:paraId="5F74CD3F">
      <w:pPr>
        <w:pStyle w:val="32"/>
        <w:numPr>
          <w:ilvl w:val="0"/>
          <w:numId w:val="1"/>
        </w:numPr>
        <w:spacing w:before="156" w:beforeLines="50" w:line="276" w:lineRule="auto"/>
        <w:ind w:left="426" w:hanging="454"/>
        <w:contextualSpacing w:val="0"/>
        <w:outlineLvl w:val="0"/>
        <w:rPr>
          <w:rFonts w:hint="eastAsia" w:ascii="宋体" w:hAnsi="宋体" w:eastAsia="宋体"/>
          <w:b/>
          <w:bCs/>
        </w:rPr>
      </w:pPr>
      <w:r>
        <w:rPr>
          <w:rFonts w:ascii="宋体" w:hAnsi="宋体" w:eastAsia="宋体"/>
          <w:b/>
          <w:bCs/>
        </w:rPr>
        <w:t>管理/服务体系认证项目的内容和要求</w:t>
      </w:r>
    </w:p>
    <w:p w14:paraId="1EF2E4EC">
      <w:pPr>
        <w:spacing w:line="276" w:lineRule="auto"/>
        <w:ind w:firstLine="420" w:firstLineChars="200"/>
        <w:rPr>
          <w:rFonts w:hint="eastAsia" w:ascii="宋体" w:hAnsi="宋体" w:eastAsia="宋体"/>
        </w:rPr>
      </w:pPr>
      <w:r>
        <w:rPr>
          <w:rFonts w:hint="eastAsia" w:ascii="宋体" w:hAnsi="宋体" w:eastAsia="宋体"/>
        </w:rPr>
        <w:t>1.认证标准及认证依据：</w:t>
      </w:r>
    </w:p>
    <w:tbl>
      <w:tblPr>
        <w:tblStyle w:val="17"/>
        <w:tblW w:w="907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0"/>
        <w:gridCol w:w="5812"/>
      </w:tblGrid>
      <w:tr w14:paraId="11E8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vAlign w:val="center"/>
          </w:tcPr>
          <w:p w14:paraId="428ACFF3">
            <w:pPr>
              <w:jc w:val="center"/>
              <w:rPr>
                <w:rFonts w:hint="eastAsia" w:ascii="宋体" w:hAnsi="宋体" w:eastAsia="宋体" w:cs="Times New Roman"/>
                <w:kern w:val="0"/>
                <w:sz w:val="20"/>
                <w:szCs w:val="20"/>
              </w:rPr>
            </w:pPr>
            <w:r>
              <w:rPr>
                <w:rFonts w:hint="eastAsia" w:ascii="宋体" w:hAnsi="宋体" w:eastAsia="宋体" w:cs="Times New Roman"/>
                <w:kern w:val="0"/>
                <w:sz w:val="20"/>
                <w:szCs w:val="20"/>
              </w:rPr>
              <w:t>认证领域</w:t>
            </w:r>
          </w:p>
        </w:tc>
        <w:tc>
          <w:tcPr>
            <w:tcW w:w="5812" w:type="dxa"/>
            <w:vAlign w:val="center"/>
          </w:tcPr>
          <w:p w14:paraId="62586C06">
            <w:pPr>
              <w:jc w:val="center"/>
              <w:rPr>
                <w:rFonts w:hint="eastAsia" w:ascii="宋体" w:hAnsi="宋体" w:eastAsia="宋体" w:cs="Times New Roman"/>
                <w:kern w:val="0"/>
                <w:sz w:val="20"/>
                <w:szCs w:val="20"/>
              </w:rPr>
            </w:pPr>
            <w:r>
              <w:rPr>
                <w:rFonts w:hint="eastAsia" w:ascii="宋体" w:hAnsi="宋体" w:eastAsia="宋体" w:cs="Times New Roman"/>
                <w:kern w:val="0"/>
                <w:sz w:val="20"/>
                <w:szCs w:val="20"/>
              </w:rPr>
              <w:t>认证依据标准</w:t>
            </w:r>
          </w:p>
        </w:tc>
      </w:tr>
      <w:tr w14:paraId="4D22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4937FA1A">
            <w:pPr>
              <w:spacing w:line="240" w:lineRule="exact"/>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质量管理体系</w:t>
            </w:r>
          </w:p>
          <w:p w14:paraId="0C92A141">
            <w:pPr>
              <w:spacing w:line="240" w:lineRule="exact"/>
              <w:jc w:val="left"/>
              <w:rPr>
                <w:rFonts w:hint="eastAsia" w:ascii="宋体" w:hAnsi="宋体" w:eastAsia="宋体" w:cs="Times New Roman"/>
                <w:kern w:val="0"/>
                <w:sz w:val="20"/>
                <w:szCs w:val="20"/>
              </w:rPr>
            </w:pPr>
            <w:sdt>
              <w:sdtPr>
                <w:rPr>
                  <w:rFonts w:ascii="宋体" w:hAnsi="宋体" w:eastAsia="宋体" w:cs="Times New Roman"/>
                  <w:kern w:val="0"/>
                  <w:sz w:val="20"/>
                  <w:szCs w:val="20"/>
                </w:rPr>
                <w:id w:val="-1026934739"/>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hint="eastAsia" w:ascii="宋体" w:hAnsi="宋体" w:eastAsia="宋体" w:cs="Times New Roman"/>
                <w:kern w:val="0"/>
                <w:sz w:val="20"/>
                <w:szCs w:val="20"/>
              </w:rPr>
              <w:t xml:space="preserve"> CNAS认可  </w:t>
            </w:r>
            <w:sdt>
              <w:sdtPr>
                <w:rPr>
                  <w:rFonts w:ascii="宋体" w:hAnsi="宋体" w:eastAsia="宋体" w:cs="Times New Roman"/>
                  <w:kern w:val="0"/>
                  <w:sz w:val="20"/>
                  <w:szCs w:val="20"/>
                </w:rPr>
                <w:id w:val="1828019379"/>
                <w14:checkbox>
                  <w14:checked w14:val="0"/>
                  <w14:checkedState w14:val="25A0" w14:font="Times New Roman"/>
                  <w14:uncheckedState w14:val="2610" w14:font="MS Gothic"/>
                </w14:checkbox>
              </w:sdtPr>
              <w:sdtEndPr>
                <w:rPr>
                  <w:rFonts w:ascii="宋体" w:hAnsi="宋体" w:eastAsia="宋体" w:cs="Times New Roman"/>
                  <w:kern w:val="0"/>
                  <w:sz w:val="20"/>
                  <w:szCs w:val="20"/>
                </w:rPr>
              </w:sdtEndPr>
              <w:sdtContent>
                <w:r>
                  <w:rPr>
                    <w:rFonts w:ascii="Segoe UI Symbol" w:hAnsi="Segoe UI Symbol" w:eastAsia="宋体" w:cs="Segoe UI Symbol"/>
                    <w:kern w:val="0"/>
                    <w:sz w:val="20"/>
                    <w:szCs w:val="20"/>
                  </w:rPr>
                  <w:t>☐</w:t>
                </w:r>
              </w:sdtContent>
            </w:sdt>
            <w:r>
              <w:rPr>
                <w:rFonts w:hint="eastAsia" w:ascii="宋体" w:hAnsi="宋体" w:eastAsia="宋体" w:cs="Times New Roman"/>
                <w:kern w:val="0"/>
                <w:sz w:val="20"/>
                <w:szCs w:val="20"/>
              </w:rPr>
              <w:t>非CNAS认可</w:t>
            </w:r>
          </w:p>
        </w:tc>
        <w:tc>
          <w:tcPr>
            <w:tcW w:w="5812" w:type="dxa"/>
            <w:vAlign w:val="center"/>
          </w:tcPr>
          <w:p w14:paraId="7040FD72">
            <w:pPr>
              <w:jc w:val="both"/>
              <w:rPr>
                <w:rFonts w:hint="eastAsia" w:ascii="宋体" w:hAnsi="宋体" w:eastAsia="宋体" w:cs="Times New Roman"/>
                <w:kern w:val="0"/>
                <w:sz w:val="20"/>
                <w:szCs w:val="20"/>
              </w:rPr>
            </w:pPr>
            <w:sdt>
              <w:sdtPr>
                <w:rPr>
                  <w:rFonts w:ascii="宋体" w:hAnsi="宋体" w:eastAsia="宋体" w:cs="Times New Roman"/>
                  <w:kern w:val="0"/>
                  <w:sz w:val="20"/>
                  <w:szCs w:val="20"/>
                </w:rPr>
                <w:id w:val="-776861900"/>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ascii="宋体" w:hAnsi="宋体" w:eastAsia="宋体" w:cs="Segoe UI Symbol"/>
                <w:kern w:val="0"/>
                <w:sz w:val="20"/>
                <w:szCs w:val="20"/>
              </w:rPr>
              <w:t xml:space="preserve"> </w:t>
            </w:r>
            <w:r>
              <w:rPr>
                <w:rFonts w:ascii="宋体" w:hAnsi="宋体" w:eastAsia="宋体" w:cs="Times New Roman"/>
                <w:kern w:val="0"/>
                <w:sz w:val="20"/>
                <w:szCs w:val="20"/>
              </w:rPr>
              <w:t>GB/T19001-2016/ISO9001:2015</w:t>
            </w:r>
          </w:p>
        </w:tc>
      </w:tr>
      <w:tr w14:paraId="7FCE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40E1A827">
            <w:pPr>
              <w:spacing w:line="240" w:lineRule="exact"/>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环境管理体系</w:t>
            </w:r>
          </w:p>
          <w:p w14:paraId="3687F37D">
            <w:pPr>
              <w:spacing w:line="240" w:lineRule="exact"/>
              <w:jc w:val="left"/>
              <w:rPr>
                <w:rFonts w:hint="eastAsia" w:ascii="宋体" w:hAnsi="宋体" w:eastAsia="宋体" w:cs="Times New Roman"/>
                <w:kern w:val="0"/>
                <w:sz w:val="20"/>
                <w:szCs w:val="20"/>
              </w:rPr>
            </w:pPr>
            <w:sdt>
              <w:sdtPr>
                <w:rPr>
                  <w:rFonts w:ascii="宋体" w:hAnsi="宋体" w:eastAsia="宋体" w:cs="Times New Roman"/>
                  <w:kern w:val="0"/>
                  <w:sz w:val="20"/>
                  <w:szCs w:val="20"/>
                </w:rPr>
                <w:id w:val="966935436"/>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hint="eastAsia" w:ascii="宋体" w:hAnsi="宋体" w:eastAsia="宋体" w:cs="Times New Roman"/>
                <w:kern w:val="0"/>
                <w:sz w:val="20"/>
                <w:szCs w:val="20"/>
              </w:rPr>
              <w:t xml:space="preserve"> CNAS认可  </w:t>
            </w:r>
            <w:sdt>
              <w:sdtPr>
                <w:rPr>
                  <w:rFonts w:ascii="宋体" w:hAnsi="宋体" w:eastAsia="宋体" w:cs="Times New Roman"/>
                  <w:kern w:val="0"/>
                  <w:sz w:val="20"/>
                  <w:szCs w:val="20"/>
                </w:rPr>
                <w:id w:val="-1331369445"/>
                <w14:checkbox>
                  <w14:checked w14:val="0"/>
                  <w14:checkedState w14:val="25A0" w14:font="Times New Roman"/>
                  <w14:uncheckedState w14:val="2610" w14:font="MS Gothic"/>
                </w14:checkbox>
              </w:sdtPr>
              <w:sdtEndPr>
                <w:rPr>
                  <w:rFonts w:ascii="宋体" w:hAnsi="宋体" w:eastAsia="宋体" w:cs="Times New Roman"/>
                  <w:kern w:val="0"/>
                  <w:sz w:val="20"/>
                  <w:szCs w:val="20"/>
                </w:rPr>
              </w:sdtEndPr>
              <w:sdtContent>
                <w:r>
                  <w:rPr>
                    <w:rFonts w:ascii="Segoe UI Symbol" w:hAnsi="Segoe UI Symbol" w:eastAsia="宋体" w:cs="Segoe UI Symbol"/>
                    <w:kern w:val="0"/>
                    <w:sz w:val="20"/>
                    <w:szCs w:val="20"/>
                  </w:rPr>
                  <w:t>☐</w:t>
                </w:r>
              </w:sdtContent>
            </w:sdt>
            <w:r>
              <w:rPr>
                <w:rFonts w:hint="eastAsia" w:ascii="宋体" w:hAnsi="宋体" w:eastAsia="宋体" w:cs="Times New Roman"/>
                <w:kern w:val="0"/>
                <w:sz w:val="20"/>
                <w:szCs w:val="20"/>
              </w:rPr>
              <w:t>非CNAS认可</w:t>
            </w:r>
          </w:p>
        </w:tc>
        <w:tc>
          <w:tcPr>
            <w:tcW w:w="5812" w:type="dxa"/>
            <w:vAlign w:val="center"/>
          </w:tcPr>
          <w:p w14:paraId="1894D103">
            <w:pPr>
              <w:jc w:val="both"/>
              <w:rPr>
                <w:rFonts w:hint="eastAsia" w:ascii="宋体" w:hAnsi="宋体" w:eastAsia="宋体" w:cs="Times New Roman"/>
                <w:kern w:val="0"/>
                <w:sz w:val="20"/>
                <w:szCs w:val="20"/>
              </w:rPr>
            </w:pPr>
            <w:sdt>
              <w:sdtPr>
                <w:rPr>
                  <w:rFonts w:ascii="宋体" w:hAnsi="宋体" w:eastAsia="宋体" w:cs="Times New Roman"/>
                  <w:kern w:val="0"/>
                  <w:sz w:val="20"/>
                  <w:szCs w:val="20"/>
                </w:rPr>
                <w:id w:val="-1326669781"/>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ascii="宋体" w:hAnsi="宋体" w:eastAsia="宋体" w:cs="Times New Roman"/>
                <w:kern w:val="0"/>
                <w:sz w:val="20"/>
                <w:szCs w:val="20"/>
              </w:rPr>
              <w:t xml:space="preserve"> GB/T24001-2016/ISO14001:2015</w:t>
            </w:r>
          </w:p>
        </w:tc>
      </w:tr>
      <w:tr w14:paraId="30F4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tcPr>
          <w:p w14:paraId="17DDA2E5">
            <w:pPr>
              <w:spacing w:line="240" w:lineRule="exact"/>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职业健康安全管理体系</w:t>
            </w:r>
          </w:p>
          <w:p w14:paraId="37308A70">
            <w:pPr>
              <w:spacing w:line="240" w:lineRule="exact"/>
              <w:jc w:val="left"/>
              <w:rPr>
                <w:rFonts w:hint="eastAsia" w:ascii="宋体" w:hAnsi="宋体" w:eastAsia="宋体" w:cs="Times New Roman"/>
                <w:kern w:val="0"/>
                <w:sz w:val="20"/>
                <w:szCs w:val="20"/>
              </w:rPr>
            </w:pPr>
            <w:sdt>
              <w:sdtPr>
                <w:rPr>
                  <w:rFonts w:ascii="宋体" w:hAnsi="宋体" w:eastAsia="宋体" w:cs="Times New Roman"/>
                  <w:kern w:val="0"/>
                  <w:sz w:val="20"/>
                  <w:szCs w:val="20"/>
                </w:rPr>
                <w:id w:val="-1887481116"/>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hint="eastAsia" w:ascii="宋体" w:hAnsi="宋体" w:eastAsia="宋体" w:cs="Times New Roman"/>
                <w:kern w:val="0"/>
                <w:sz w:val="20"/>
                <w:szCs w:val="20"/>
              </w:rPr>
              <w:t xml:space="preserve"> CNAS认可  </w:t>
            </w:r>
            <w:sdt>
              <w:sdtPr>
                <w:rPr>
                  <w:rFonts w:ascii="宋体" w:hAnsi="宋体" w:eastAsia="宋体" w:cs="Times New Roman"/>
                  <w:kern w:val="0"/>
                  <w:sz w:val="20"/>
                  <w:szCs w:val="20"/>
                </w:rPr>
                <w:id w:val="1044871434"/>
                <w14:checkbox>
                  <w14:checked w14:val="0"/>
                  <w14:checkedState w14:val="25A0" w14:font="Times New Roman"/>
                  <w14:uncheckedState w14:val="2610" w14:font="MS Gothic"/>
                </w14:checkbox>
              </w:sdtPr>
              <w:sdtEndPr>
                <w:rPr>
                  <w:rFonts w:ascii="宋体" w:hAnsi="宋体" w:eastAsia="宋体" w:cs="Times New Roman"/>
                  <w:kern w:val="0"/>
                  <w:sz w:val="20"/>
                  <w:szCs w:val="20"/>
                </w:rPr>
              </w:sdtEndPr>
              <w:sdtContent>
                <w:r>
                  <w:rPr>
                    <w:rFonts w:ascii="Segoe UI Symbol" w:hAnsi="Segoe UI Symbol" w:eastAsia="宋体" w:cs="Segoe UI Symbol"/>
                    <w:kern w:val="0"/>
                    <w:sz w:val="20"/>
                    <w:szCs w:val="20"/>
                  </w:rPr>
                  <w:t>☐</w:t>
                </w:r>
              </w:sdtContent>
            </w:sdt>
            <w:r>
              <w:rPr>
                <w:rFonts w:hint="eastAsia" w:ascii="宋体" w:hAnsi="宋体" w:eastAsia="宋体" w:cs="Times New Roman"/>
                <w:kern w:val="0"/>
                <w:sz w:val="20"/>
                <w:szCs w:val="20"/>
              </w:rPr>
              <w:t>非CNAS认可</w:t>
            </w:r>
          </w:p>
        </w:tc>
        <w:tc>
          <w:tcPr>
            <w:tcW w:w="5812" w:type="dxa"/>
            <w:vAlign w:val="center"/>
          </w:tcPr>
          <w:p w14:paraId="5C3BADBF">
            <w:pPr>
              <w:jc w:val="both"/>
              <w:rPr>
                <w:rFonts w:hint="eastAsia" w:ascii="宋体" w:hAnsi="宋体" w:eastAsia="宋体" w:cs="Times New Roman"/>
                <w:kern w:val="0"/>
                <w:sz w:val="20"/>
                <w:szCs w:val="20"/>
              </w:rPr>
            </w:pPr>
            <w:sdt>
              <w:sdtPr>
                <w:rPr>
                  <w:rFonts w:ascii="宋体" w:hAnsi="宋体" w:eastAsia="宋体" w:cs="Times New Roman"/>
                  <w:kern w:val="0"/>
                  <w:sz w:val="20"/>
                  <w:szCs w:val="20"/>
                </w:rPr>
                <w:id w:val="-209730796"/>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ascii="宋体" w:hAnsi="宋体" w:eastAsia="宋体" w:cs="Times New Roman"/>
                <w:kern w:val="0"/>
                <w:sz w:val="20"/>
                <w:szCs w:val="20"/>
              </w:rPr>
              <w:t xml:space="preserve"> GB/T45001-2020/ISO45001</w:t>
            </w:r>
            <w:r>
              <w:rPr>
                <w:rFonts w:hint="eastAsia" w:ascii="宋体" w:hAnsi="宋体" w:eastAsia="宋体" w:cs="Times New Roman"/>
                <w:kern w:val="0"/>
                <w:sz w:val="20"/>
                <w:szCs w:val="20"/>
              </w:rPr>
              <w:t>：</w:t>
            </w:r>
            <w:r>
              <w:rPr>
                <w:rFonts w:ascii="宋体" w:hAnsi="宋体" w:eastAsia="宋体" w:cs="Times New Roman"/>
                <w:kern w:val="0"/>
                <w:sz w:val="20"/>
                <w:szCs w:val="20"/>
              </w:rPr>
              <w:t>2018</w:t>
            </w:r>
          </w:p>
        </w:tc>
      </w:tr>
      <w:tr w14:paraId="637D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vAlign w:val="center"/>
          </w:tcPr>
          <w:p w14:paraId="39874CAC">
            <w:pPr>
              <w:jc w:val="left"/>
              <w:rPr>
                <w:rFonts w:hint="eastAsia" w:ascii="宋体" w:hAnsi="宋体" w:eastAsia="宋体" w:cs="Times New Roman"/>
                <w:kern w:val="0"/>
                <w:sz w:val="20"/>
                <w:szCs w:val="20"/>
              </w:rPr>
            </w:pPr>
            <w:r>
              <w:rPr>
                <w:rFonts w:ascii="宋体" w:hAnsi="宋体" w:eastAsia="宋体" w:cs="Times New Roman"/>
                <w:kern w:val="0"/>
                <w:sz w:val="20"/>
                <w:szCs w:val="20"/>
              </w:rPr>
              <w:t>HSE管理体系</w:t>
            </w:r>
          </w:p>
        </w:tc>
        <w:tc>
          <w:tcPr>
            <w:tcW w:w="5812" w:type="dxa"/>
            <w:vAlign w:val="center"/>
          </w:tcPr>
          <w:p w14:paraId="46220AAD">
            <w:pPr>
              <w:pStyle w:val="32"/>
              <w:spacing w:line="240" w:lineRule="exact"/>
              <w:ind w:left="0"/>
              <w:jc w:val="both"/>
              <w:rPr>
                <w:rFonts w:hint="eastAsia" w:ascii="宋体" w:hAnsi="宋体" w:eastAsia="宋体" w:cs="Times New Roman"/>
                <w:kern w:val="0"/>
                <w:sz w:val="20"/>
                <w:szCs w:val="20"/>
              </w:rPr>
            </w:pPr>
            <w:sdt>
              <w:sdtPr>
                <w:rPr>
                  <w:rFonts w:ascii="宋体" w:hAnsi="宋体" w:eastAsia="宋体" w:cs="Times New Roman"/>
                  <w:kern w:val="0"/>
                  <w:sz w:val="20"/>
                  <w:szCs w:val="20"/>
                </w:rPr>
                <w:id w:val="973327385"/>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hint="eastAsia" w:ascii="宋体" w:hAnsi="宋体" w:eastAsia="宋体" w:cs="Times New Roman"/>
                <w:kern w:val="0"/>
                <w:sz w:val="20"/>
                <w:szCs w:val="20"/>
              </w:rPr>
              <w:t xml:space="preserve"> </w:t>
            </w:r>
            <w:r>
              <w:rPr>
                <w:rFonts w:ascii="宋体" w:hAnsi="宋体" w:eastAsia="宋体" w:cs="Times New Roman"/>
                <w:kern w:val="0"/>
                <w:sz w:val="20"/>
                <w:szCs w:val="20"/>
              </w:rPr>
              <w:t>SY/T6276-20</w:t>
            </w:r>
            <w:r>
              <w:rPr>
                <w:rFonts w:hint="eastAsia" w:ascii="宋体" w:hAnsi="宋体" w:eastAsia="宋体" w:cs="Times New Roman"/>
                <w:kern w:val="0"/>
                <w:sz w:val="20"/>
                <w:szCs w:val="20"/>
              </w:rPr>
              <w:t>25</w:t>
            </w:r>
          </w:p>
        </w:tc>
      </w:tr>
      <w:tr w14:paraId="078E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vAlign w:val="center"/>
          </w:tcPr>
          <w:p w14:paraId="5CA93601">
            <w:pPr>
              <w:jc w:val="left"/>
              <w:rPr>
                <w:rFonts w:hint="eastAsia" w:ascii="宋体" w:hAnsi="宋体" w:eastAsia="宋体" w:cs="Times New Roman"/>
                <w:kern w:val="0"/>
                <w:sz w:val="20"/>
                <w:szCs w:val="20"/>
              </w:rPr>
            </w:pPr>
            <w:r>
              <w:rPr>
                <w:rFonts w:ascii="宋体" w:hAnsi="宋体" w:eastAsia="宋体" w:cs="Times New Roman"/>
                <w:kern w:val="0"/>
                <w:sz w:val="20"/>
                <w:szCs w:val="20"/>
              </w:rPr>
              <w:t>企业诚信管理体系</w:t>
            </w:r>
          </w:p>
        </w:tc>
        <w:tc>
          <w:tcPr>
            <w:tcW w:w="5812" w:type="dxa"/>
            <w:vAlign w:val="center"/>
          </w:tcPr>
          <w:p w14:paraId="6289A6AB">
            <w:pPr>
              <w:jc w:val="both"/>
              <w:rPr>
                <w:rFonts w:hint="eastAsia" w:ascii="宋体" w:hAnsi="宋体" w:eastAsia="宋体" w:cs="Times New Roman"/>
                <w:kern w:val="0"/>
                <w:sz w:val="20"/>
                <w:szCs w:val="20"/>
              </w:rPr>
            </w:pPr>
            <w:sdt>
              <w:sdtPr>
                <w:rPr>
                  <w:rFonts w:ascii="宋体" w:hAnsi="宋体" w:eastAsia="宋体" w:cs="Times New Roman"/>
                  <w:kern w:val="0"/>
                  <w:sz w:val="20"/>
                  <w:szCs w:val="20"/>
                </w:rPr>
                <w:id w:val="1463150357"/>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ascii="宋体" w:hAnsi="宋体" w:eastAsia="宋体" w:cs="Times New Roman"/>
                <w:kern w:val="0"/>
                <w:sz w:val="20"/>
                <w:szCs w:val="20"/>
              </w:rPr>
              <w:t xml:space="preserve"> GB/T31950-2023 </w:t>
            </w:r>
          </w:p>
        </w:tc>
      </w:tr>
      <w:tr w14:paraId="10FA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vAlign w:val="center"/>
          </w:tcPr>
          <w:p w14:paraId="10015988">
            <w:pPr>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社会责任管理体系</w:t>
            </w:r>
          </w:p>
        </w:tc>
        <w:tc>
          <w:tcPr>
            <w:tcW w:w="5812" w:type="dxa"/>
            <w:vAlign w:val="center"/>
          </w:tcPr>
          <w:p w14:paraId="1ED473DA">
            <w:pPr>
              <w:jc w:val="both"/>
              <w:rPr>
                <w:rFonts w:hint="eastAsia" w:ascii="宋体" w:hAnsi="宋体" w:eastAsia="宋体" w:cs="Times New Roman"/>
                <w:kern w:val="0"/>
                <w:sz w:val="20"/>
                <w:szCs w:val="20"/>
              </w:rPr>
            </w:pPr>
            <w:sdt>
              <w:sdtPr>
                <w:rPr>
                  <w:rFonts w:ascii="宋体" w:hAnsi="宋体" w:eastAsia="宋体" w:cs="Times New Roman"/>
                  <w:kern w:val="0"/>
                  <w:sz w:val="20"/>
                  <w:szCs w:val="20"/>
                </w:rPr>
                <w:id w:val="2061981867"/>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ascii="宋体" w:hAnsi="宋体" w:eastAsia="宋体" w:cs="Times New Roman"/>
                <w:kern w:val="0"/>
                <w:sz w:val="20"/>
                <w:szCs w:val="20"/>
              </w:rPr>
              <w:t xml:space="preserve"> GB/T39604-2020</w:t>
            </w:r>
          </w:p>
        </w:tc>
      </w:tr>
      <w:tr w14:paraId="50CA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vAlign w:val="center"/>
          </w:tcPr>
          <w:p w14:paraId="76F787FB">
            <w:pPr>
              <w:jc w:val="left"/>
              <w:rPr>
                <w:rFonts w:hint="eastAsia" w:ascii="宋体" w:hAnsi="宋体" w:eastAsia="宋体" w:cs="Times New Roman"/>
                <w:kern w:val="0"/>
                <w:sz w:val="20"/>
                <w:szCs w:val="20"/>
              </w:rPr>
            </w:pPr>
            <w:r>
              <w:rPr>
                <w:rFonts w:ascii="宋体" w:hAnsi="宋体" w:eastAsia="宋体" w:cs="Times New Roman"/>
                <w:kern w:val="0"/>
                <w:sz w:val="20"/>
                <w:szCs w:val="20"/>
              </w:rPr>
              <w:t>绿色供应链管理体系</w:t>
            </w:r>
          </w:p>
        </w:tc>
        <w:tc>
          <w:tcPr>
            <w:tcW w:w="5812" w:type="dxa"/>
            <w:vAlign w:val="center"/>
          </w:tcPr>
          <w:p w14:paraId="11289249">
            <w:pPr>
              <w:jc w:val="both"/>
              <w:rPr>
                <w:rFonts w:hint="eastAsia" w:ascii="宋体" w:hAnsi="宋体" w:eastAsia="宋体" w:cs="Times New Roman"/>
                <w:kern w:val="0"/>
                <w:sz w:val="20"/>
                <w:szCs w:val="20"/>
              </w:rPr>
            </w:pPr>
            <w:sdt>
              <w:sdtPr>
                <w:rPr>
                  <w:rFonts w:ascii="宋体" w:hAnsi="宋体" w:eastAsia="宋体" w:cs="Times New Roman"/>
                  <w:kern w:val="0"/>
                  <w:sz w:val="20"/>
                  <w:szCs w:val="20"/>
                </w:rPr>
                <w:id w:val="-156771811"/>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ascii="宋体" w:hAnsi="宋体" w:eastAsia="宋体" w:cs="Times New Roman"/>
                <w:kern w:val="0"/>
                <w:sz w:val="20"/>
                <w:szCs w:val="20"/>
              </w:rPr>
              <w:t xml:space="preserve"> </w:t>
            </w:r>
            <w:r>
              <w:rPr>
                <w:rFonts w:hint="eastAsia" w:ascii="宋体" w:hAnsi="宋体" w:eastAsia="宋体" w:cs="Times New Roman"/>
                <w:kern w:val="0"/>
                <w:sz w:val="20"/>
                <w:szCs w:val="20"/>
              </w:rPr>
              <w:t>RB/T089-2022</w:t>
            </w:r>
          </w:p>
        </w:tc>
      </w:tr>
      <w:tr w14:paraId="6C21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vAlign w:val="center"/>
          </w:tcPr>
          <w:p w14:paraId="102E71B9">
            <w:pPr>
              <w:jc w:val="left"/>
              <w:rPr>
                <w:rFonts w:hint="eastAsia" w:ascii="宋体" w:hAnsi="宋体" w:eastAsia="宋体" w:cs="Times New Roman"/>
                <w:kern w:val="0"/>
                <w:sz w:val="20"/>
                <w:szCs w:val="20"/>
              </w:rPr>
            </w:pPr>
            <w:r>
              <w:rPr>
                <w:rFonts w:ascii="宋体" w:hAnsi="宋体" w:eastAsia="宋体" w:cs="Times New Roman"/>
                <w:kern w:val="0"/>
                <w:sz w:val="20"/>
                <w:szCs w:val="20"/>
              </w:rPr>
              <w:t>商品售后服务</w:t>
            </w:r>
            <w:r>
              <w:rPr>
                <w:rFonts w:hint="eastAsia" w:ascii="宋体" w:hAnsi="宋体" w:eastAsia="宋体" w:cs="Times New Roman"/>
                <w:kern w:val="0"/>
                <w:sz w:val="20"/>
                <w:szCs w:val="20"/>
              </w:rPr>
              <w:t>认证</w:t>
            </w:r>
          </w:p>
        </w:tc>
        <w:tc>
          <w:tcPr>
            <w:tcW w:w="5812" w:type="dxa"/>
            <w:vAlign w:val="center"/>
          </w:tcPr>
          <w:p w14:paraId="60CD6EAB">
            <w:pPr>
              <w:jc w:val="both"/>
              <w:rPr>
                <w:rFonts w:hint="eastAsia" w:ascii="宋体" w:hAnsi="宋体" w:eastAsia="宋体" w:cs="Times New Roman"/>
                <w:kern w:val="0"/>
                <w:sz w:val="20"/>
                <w:szCs w:val="20"/>
              </w:rPr>
            </w:pPr>
            <w:sdt>
              <w:sdtPr>
                <w:rPr>
                  <w:rFonts w:ascii="宋体" w:hAnsi="宋体" w:eastAsia="宋体" w:cs="Times New Roman"/>
                  <w:kern w:val="0"/>
                  <w:sz w:val="20"/>
                  <w:szCs w:val="20"/>
                </w:rPr>
                <w:id w:val="-371764781"/>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hint="eastAsia" w:ascii="宋体" w:hAnsi="宋体" w:eastAsia="宋体" w:cs="Times New Roman"/>
                <w:kern w:val="0"/>
                <w:sz w:val="20"/>
                <w:szCs w:val="20"/>
              </w:rPr>
              <w:t xml:space="preserve"> </w:t>
            </w:r>
            <w:r>
              <w:rPr>
                <w:rFonts w:ascii="宋体" w:hAnsi="宋体" w:eastAsia="宋体" w:cs="Times New Roman"/>
                <w:kern w:val="0"/>
                <w:sz w:val="20"/>
                <w:szCs w:val="20"/>
              </w:rPr>
              <w:t>GB/T27922-2011</w:t>
            </w:r>
          </w:p>
        </w:tc>
      </w:tr>
      <w:tr w14:paraId="0009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vAlign w:val="center"/>
          </w:tcPr>
          <w:p w14:paraId="5BAC4636">
            <w:pPr>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保养和修理服务认证</w:t>
            </w:r>
          </w:p>
        </w:tc>
        <w:tc>
          <w:tcPr>
            <w:tcW w:w="5812" w:type="dxa"/>
            <w:vAlign w:val="center"/>
          </w:tcPr>
          <w:p w14:paraId="7B0E6466">
            <w:pPr>
              <w:jc w:val="both"/>
              <w:rPr>
                <w:rFonts w:hint="eastAsia" w:ascii="宋体" w:hAnsi="宋体" w:eastAsia="宋体" w:cs="Times New Roman"/>
                <w:kern w:val="0"/>
                <w:sz w:val="20"/>
                <w:szCs w:val="20"/>
              </w:rPr>
            </w:pPr>
            <w:sdt>
              <w:sdtPr>
                <w:rPr>
                  <w:rFonts w:ascii="宋体" w:hAnsi="宋体" w:eastAsia="宋体" w:cs="Times New Roman"/>
                  <w:kern w:val="0"/>
                  <w:sz w:val="20"/>
                  <w:szCs w:val="20"/>
                </w:rPr>
                <w:id w:val="-271939423"/>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ascii="宋体" w:hAnsi="宋体" w:eastAsia="宋体" w:cs="Times New Roman"/>
                <w:kern w:val="0"/>
                <w:sz w:val="20"/>
                <w:szCs w:val="20"/>
              </w:rPr>
              <w:t xml:space="preserve"> Q/HZSJ001-202</w:t>
            </w:r>
            <w:r>
              <w:rPr>
                <w:rFonts w:hint="eastAsia" w:ascii="宋体" w:hAnsi="宋体" w:eastAsia="宋体" w:cs="Times New Roman"/>
                <w:kern w:val="0"/>
                <w:sz w:val="20"/>
                <w:szCs w:val="20"/>
              </w:rPr>
              <w:t>5</w:t>
            </w:r>
          </w:p>
        </w:tc>
      </w:tr>
      <w:tr w14:paraId="7249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0" w:type="dxa"/>
            <w:vAlign w:val="center"/>
          </w:tcPr>
          <w:p w14:paraId="7B242E57">
            <w:pPr>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其它管理</w:t>
            </w:r>
            <w:r>
              <w:rPr>
                <w:rFonts w:ascii="宋体" w:hAnsi="宋体" w:eastAsia="宋体" w:cs="Times New Roman"/>
                <w:kern w:val="0"/>
                <w:sz w:val="20"/>
                <w:szCs w:val="20"/>
              </w:rPr>
              <w:t>体系</w:t>
            </w:r>
            <w:r>
              <w:rPr>
                <w:rFonts w:hint="eastAsia" w:ascii="宋体" w:hAnsi="宋体" w:eastAsia="宋体" w:cs="Times New Roman"/>
                <w:kern w:val="0"/>
                <w:sz w:val="20"/>
                <w:szCs w:val="20"/>
              </w:rPr>
              <w:t>/服务认证</w:t>
            </w:r>
          </w:p>
        </w:tc>
        <w:tc>
          <w:tcPr>
            <w:tcW w:w="5812" w:type="dxa"/>
            <w:vAlign w:val="center"/>
          </w:tcPr>
          <w:p w14:paraId="3612B672">
            <w:pPr>
              <w:jc w:val="both"/>
              <w:rPr>
                <w:rFonts w:hint="eastAsia" w:ascii="宋体" w:hAnsi="宋体" w:eastAsia="宋体" w:cs="Times New Roman"/>
                <w:kern w:val="0"/>
                <w:sz w:val="20"/>
                <w:szCs w:val="20"/>
              </w:rPr>
            </w:pPr>
            <w:sdt>
              <w:sdtPr>
                <w:rPr>
                  <w:rFonts w:ascii="宋体" w:hAnsi="宋体" w:eastAsia="宋体" w:cs="Times New Roman"/>
                  <w:kern w:val="0"/>
                  <w:sz w:val="20"/>
                  <w:szCs w:val="20"/>
                </w:rPr>
                <w:id w:val="-683904388"/>
                <w14:checkbox>
                  <w14:checked w14:val="0"/>
                  <w14:checkedState w14:val="25A0" w14:font="宋体"/>
                  <w14:uncheckedState w14:val="2610" w14:font="MS Gothic"/>
                </w14:checkbox>
              </w:sdtPr>
              <w:sdtEndPr>
                <w:rPr>
                  <w:rFonts w:ascii="宋体" w:hAnsi="宋体" w:eastAsia="宋体" w:cs="Times New Roman"/>
                  <w:kern w:val="0"/>
                  <w:sz w:val="20"/>
                  <w:szCs w:val="20"/>
                </w:rPr>
              </w:sdtEndPr>
              <w:sdtContent>
                <w:r>
                  <w:rPr>
                    <w:rFonts w:hint="eastAsia" w:ascii="MS Gothic" w:hAnsi="MS Gothic" w:eastAsia="MS Gothic" w:cs="Times New Roman"/>
                    <w:kern w:val="0"/>
                    <w:sz w:val="20"/>
                    <w:szCs w:val="20"/>
                  </w:rPr>
                  <w:t>☐</w:t>
                </w:r>
              </w:sdtContent>
            </w:sdt>
            <w:r>
              <w:rPr>
                <w:rFonts w:ascii="宋体" w:hAnsi="宋体" w:eastAsia="宋体" w:cs="Times New Roman"/>
                <w:kern w:val="0"/>
                <w:sz w:val="20"/>
                <w:szCs w:val="20"/>
              </w:rPr>
              <w:t xml:space="preserve"> </w:t>
            </w:r>
          </w:p>
        </w:tc>
      </w:tr>
    </w:tbl>
    <w:p w14:paraId="12F37DCD">
      <w:pPr>
        <w:spacing w:before="156" w:beforeLines="50" w:line="276" w:lineRule="auto"/>
        <w:ind w:firstLine="420" w:firstLineChars="200"/>
        <w:rPr>
          <w:rFonts w:hint="eastAsia" w:ascii="宋体" w:hAnsi="宋体" w:eastAsia="宋体"/>
          <w:b/>
          <w:bCs/>
          <w:u w:val="single"/>
        </w:rPr>
      </w:pPr>
      <w:r>
        <w:rPr>
          <w:rFonts w:hint="eastAsia" w:ascii="宋体" w:hAnsi="宋体" w:eastAsia="宋体"/>
        </w:rPr>
        <w:t>2.申请认证范围：</w:t>
      </w:r>
      <w:r>
        <w:rPr>
          <w:rFonts w:hint="eastAsia" w:ascii="宋体" w:hAnsi="宋体" w:eastAsia="宋体"/>
          <w:b/>
          <w:bCs/>
          <w:u w:val="single"/>
        </w:rPr>
        <w:t xml:space="preserve">                                                                        </w:t>
      </w:r>
    </w:p>
    <w:p w14:paraId="4F9DFAD0">
      <w:pPr>
        <w:spacing w:line="276" w:lineRule="auto"/>
        <w:rPr>
          <w:rFonts w:hint="eastAsia" w:ascii="宋体" w:hAnsi="宋体" w:eastAsia="宋体"/>
          <w:b/>
          <w:bCs/>
          <w:u w:val="single"/>
        </w:rPr>
      </w:pPr>
      <w:r>
        <w:rPr>
          <w:rFonts w:hint="eastAsia" w:ascii="宋体" w:hAnsi="宋体" w:eastAsia="宋体"/>
          <w:b/>
          <w:bCs/>
          <w:u w:val="single"/>
        </w:rPr>
        <w:t xml:space="preserve">                                                                                            </w:t>
      </w:r>
    </w:p>
    <w:p w14:paraId="441FA2E4">
      <w:pPr>
        <w:spacing w:line="276" w:lineRule="auto"/>
        <w:ind w:firstLine="420" w:firstLineChars="200"/>
        <w:rPr>
          <w:rFonts w:hint="eastAsia" w:ascii="宋体" w:hAnsi="宋体" w:eastAsia="宋体"/>
        </w:rPr>
      </w:pPr>
      <w:r>
        <w:rPr>
          <w:rFonts w:hint="eastAsia" w:ascii="宋体" w:hAnsi="宋体" w:eastAsia="宋体"/>
        </w:rPr>
        <w:t>3.拟认证范围内活动覆盖的场所地址：</w:t>
      </w:r>
      <w:r>
        <w:rPr>
          <w:rFonts w:hint="eastAsia" w:ascii="宋体" w:hAnsi="宋体" w:eastAsia="宋体"/>
          <w:u w:val="single"/>
        </w:rPr>
        <w:t xml:space="preserve">                                                     </w:t>
      </w:r>
      <w:r>
        <w:rPr>
          <w:rFonts w:hint="eastAsia" w:ascii="宋体" w:hAnsi="宋体" w:eastAsia="宋体"/>
        </w:rPr>
        <w:t xml:space="preserve"> </w:t>
      </w:r>
    </w:p>
    <w:p w14:paraId="0CB8EE7B">
      <w:pPr>
        <w:spacing w:line="276" w:lineRule="auto"/>
        <w:ind w:firstLine="840" w:firstLineChars="400"/>
        <w:rPr>
          <w:rFonts w:hint="eastAsia" w:ascii="宋体" w:hAnsi="宋体" w:eastAsia="宋体"/>
        </w:rPr>
      </w:pPr>
      <w:r>
        <w:rPr>
          <w:rFonts w:hint="eastAsia" w:ascii="宋体" w:hAnsi="宋体" w:eastAsia="宋体"/>
        </w:rPr>
        <w:t>□不存在多场所/临时场所；□存在多场所/临时场所，详见《多场所/临时场所清单》</w:t>
      </w:r>
    </w:p>
    <w:p w14:paraId="052BA147">
      <w:pPr>
        <w:spacing w:line="276" w:lineRule="auto"/>
        <w:ind w:firstLine="420" w:firstLineChars="200"/>
        <w:rPr>
          <w:rFonts w:hint="eastAsia" w:ascii="宋体" w:hAnsi="宋体" w:eastAsia="宋体"/>
          <w:szCs w:val="21"/>
        </w:rPr>
      </w:pPr>
      <w:r>
        <w:rPr>
          <w:rFonts w:hint="eastAsia" w:ascii="宋体" w:hAnsi="宋体" w:eastAsia="宋体"/>
          <w:szCs w:val="21"/>
        </w:rPr>
        <w:t>4.甲方管理体系覆盖的总人数</w:t>
      </w:r>
      <w:r>
        <w:rPr>
          <w:rFonts w:hint="eastAsia" w:ascii="宋体" w:hAnsi="宋体" w:eastAsia="宋体"/>
          <w:szCs w:val="21"/>
          <w:u w:val="single"/>
        </w:rPr>
        <w:t xml:space="preserve">      </w:t>
      </w:r>
      <w:r>
        <w:rPr>
          <w:rFonts w:hint="eastAsia" w:ascii="宋体" w:hAnsi="宋体" w:eastAsia="宋体"/>
          <w:szCs w:val="21"/>
        </w:rPr>
        <w:t>人；服务认证覆盖的总人数是：</w:t>
      </w:r>
      <w:r>
        <w:rPr>
          <w:rFonts w:hint="eastAsia" w:ascii="宋体" w:hAnsi="宋体" w:eastAsia="宋体"/>
          <w:szCs w:val="21"/>
          <w:u w:val="single"/>
        </w:rPr>
        <w:t xml:space="preserve">      </w:t>
      </w:r>
      <w:r>
        <w:rPr>
          <w:rFonts w:hint="eastAsia" w:ascii="宋体" w:hAnsi="宋体" w:eastAsia="宋体"/>
          <w:szCs w:val="21"/>
        </w:rPr>
        <w:t>人；</w:t>
      </w:r>
    </w:p>
    <w:p w14:paraId="39F87973">
      <w:pPr>
        <w:spacing w:line="276" w:lineRule="auto"/>
        <w:rPr>
          <w:rFonts w:hint="eastAsia" w:ascii="宋体" w:hAnsi="宋体" w:eastAsia="宋体"/>
          <w:sz w:val="18"/>
          <w:szCs w:val="18"/>
        </w:rPr>
      </w:pPr>
      <w:r>
        <w:rPr>
          <w:rFonts w:hint="eastAsia" w:ascii="宋体" w:hAnsi="宋体" w:eastAsia="宋体"/>
          <w:sz w:val="18"/>
          <w:szCs w:val="18"/>
        </w:rPr>
        <w:t>（注：认证范围及涉及人数、认证范围内活动覆盖的场所地址（生产/经营地址）的描述以乙方认证决定为准。乙方只对甲方提供的审核区域与场所，以及最终由乙方认证决定确认的书面范围负责）。</w:t>
      </w:r>
    </w:p>
    <w:p w14:paraId="7D411295">
      <w:pPr>
        <w:pStyle w:val="32"/>
        <w:numPr>
          <w:ilvl w:val="0"/>
          <w:numId w:val="1"/>
        </w:numPr>
        <w:spacing w:before="156" w:beforeLines="50" w:line="276" w:lineRule="auto"/>
        <w:ind w:left="426" w:hanging="454"/>
        <w:contextualSpacing w:val="0"/>
        <w:rPr>
          <w:rFonts w:hint="eastAsia" w:ascii="宋体" w:hAnsi="宋体" w:eastAsia="宋体"/>
          <w:b/>
          <w:bCs/>
        </w:rPr>
      </w:pPr>
      <w:r>
        <w:rPr>
          <w:rFonts w:hint="eastAsia" w:ascii="宋体" w:hAnsi="宋体" w:eastAsia="宋体"/>
          <w:b/>
          <w:bCs/>
        </w:rPr>
        <w:t>认证服务费用及付费方式</w:t>
      </w:r>
    </w:p>
    <w:p w14:paraId="4472CB73">
      <w:pPr>
        <w:spacing w:line="276" w:lineRule="auto"/>
        <w:ind w:firstLine="420" w:firstLineChars="200"/>
        <w:rPr>
          <w:rFonts w:hint="eastAsia" w:ascii="宋体" w:hAnsi="宋体" w:eastAsia="宋体"/>
        </w:rPr>
      </w:pPr>
      <w:r>
        <w:rPr>
          <w:rFonts w:hint="eastAsia" w:ascii="宋体" w:hAnsi="宋体" w:eastAsia="宋体"/>
        </w:rPr>
        <w:t>1.甲方应向乙方交付以下费用（初审、监督和再认证）</w:t>
      </w:r>
    </w:p>
    <w:p w14:paraId="02F3D538">
      <w:pPr>
        <w:pStyle w:val="32"/>
        <w:numPr>
          <w:ilvl w:val="0"/>
          <w:numId w:val="2"/>
        </w:numPr>
        <w:spacing w:line="276" w:lineRule="auto"/>
        <w:ind w:left="1134"/>
        <w:contextualSpacing w:val="0"/>
        <w:rPr>
          <w:rFonts w:hint="eastAsia" w:ascii="宋体" w:hAnsi="宋体" w:eastAsia="宋体"/>
        </w:rPr>
      </w:pPr>
      <w:r>
        <w:rPr>
          <w:rFonts w:hint="eastAsia" w:ascii="宋体" w:hAnsi="宋体" w:eastAsia="宋体"/>
        </w:rPr>
        <w:t>初次认证费用：</w:t>
      </w:r>
    </w:p>
    <w:p w14:paraId="47D759C1">
      <w:pPr>
        <w:pStyle w:val="32"/>
        <w:spacing w:line="276" w:lineRule="auto"/>
        <w:ind w:left="1134"/>
        <w:contextualSpacing w:val="0"/>
        <w:rPr>
          <w:rFonts w:hint="eastAsia" w:ascii="宋体" w:hAnsi="宋体" w:eastAsia="宋体"/>
        </w:rPr>
      </w:pPr>
      <w:r>
        <w:rPr>
          <w:rFonts w:hint="eastAsia" w:ascii="宋体" w:hAnsi="宋体" w:eastAsia="宋体"/>
        </w:rPr>
        <w:t>申请/注册费、审核费合计：</w:t>
      </w:r>
      <w:r>
        <w:rPr>
          <w:rFonts w:ascii="宋体" w:hAnsi="宋体" w:eastAsia="宋体"/>
          <w:u w:val="thick"/>
        </w:rPr>
        <w:t xml:space="preserve">        </w:t>
      </w:r>
      <w:r>
        <w:rPr>
          <w:rFonts w:ascii="宋体" w:hAnsi="宋体" w:eastAsia="宋体"/>
        </w:rPr>
        <w:t>元</w:t>
      </w:r>
      <w:r>
        <w:rPr>
          <w:rFonts w:hint="eastAsia" w:ascii="宋体" w:hAnsi="宋体" w:eastAsia="宋体"/>
        </w:rPr>
        <w:t>（人民币大写：</w:t>
      </w:r>
      <w:r>
        <w:rPr>
          <w:rFonts w:hint="eastAsia" w:ascii="宋体" w:hAnsi="宋体" w:eastAsia="宋体"/>
          <w:u w:val="thick"/>
        </w:rPr>
        <w:t xml:space="preserve">   拾   万   仟   佰   拾   元</w:t>
      </w:r>
      <w:r>
        <w:rPr>
          <w:rFonts w:hint="eastAsia" w:ascii="宋体" w:hAnsi="宋体" w:eastAsia="宋体"/>
        </w:rPr>
        <w:t>）。</w:t>
      </w:r>
    </w:p>
    <w:p w14:paraId="3EED0E09">
      <w:pPr>
        <w:pStyle w:val="32"/>
        <w:numPr>
          <w:ilvl w:val="0"/>
          <w:numId w:val="2"/>
        </w:numPr>
        <w:spacing w:line="276" w:lineRule="auto"/>
        <w:ind w:left="1134"/>
        <w:contextualSpacing w:val="0"/>
        <w:rPr>
          <w:rFonts w:hint="eastAsia" w:ascii="宋体" w:hAnsi="宋体" w:eastAsia="宋体"/>
        </w:rPr>
      </w:pPr>
      <w:r>
        <w:rPr>
          <w:rFonts w:hint="eastAsia" w:ascii="宋体" w:hAnsi="宋体" w:eastAsia="宋体"/>
        </w:rPr>
        <w:t>监督认证费用：</w:t>
      </w:r>
    </w:p>
    <w:p w14:paraId="43041096">
      <w:pPr>
        <w:pStyle w:val="32"/>
        <w:spacing w:line="276" w:lineRule="auto"/>
        <w:ind w:left="1134"/>
        <w:contextualSpacing w:val="0"/>
        <w:rPr>
          <w:rFonts w:hint="eastAsia" w:ascii="宋体" w:hAnsi="宋体" w:eastAsia="宋体"/>
        </w:rPr>
      </w:pPr>
      <w:r>
        <w:rPr>
          <w:rFonts w:hint="eastAsia" w:ascii="宋体" w:hAnsi="宋体" w:eastAsia="宋体"/>
        </w:rPr>
        <w:t>年金、审核费合计：</w:t>
      </w:r>
      <w:r>
        <w:rPr>
          <w:rFonts w:ascii="宋体" w:hAnsi="宋体" w:eastAsia="宋体"/>
          <w:u w:val="thick"/>
        </w:rPr>
        <w:t xml:space="preserve">        </w:t>
      </w:r>
      <w:r>
        <w:rPr>
          <w:rFonts w:ascii="宋体" w:hAnsi="宋体" w:eastAsia="宋体"/>
        </w:rPr>
        <w:t>元</w:t>
      </w:r>
      <w:r>
        <w:rPr>
          <w:rFonts w:hint="eastAsia" w:ascii="宋体" w:hAnsi="宋体" w:eastAsia="宋体"/>
        </w:rPr>
        <w:t>（人民币大写：</w:t>
      </w:r>
      <w:r>
        <w:rPr>
          <w:rFonts w:hint="eastAsia" w:ascii="宋体" w:hAnsi="宋体" w:eastAsia="宋体"/>
          <w:u w:val="thick"/>
        </w:rPr>
        <w:t xml:space="preserve">   拾   万   仟   佰   拾   元</w:t>
      </w:r>
      <w:r>
        <w:rPr>
          <w:rFonts w:hint="eastAsia" w:ascii="宋体" w:hAnsi="宋体" w:eastAsia="宋体"/>
        </w:rPr>
        <w:t>）。</w:t>
      </w:r>
    </w:p>
    <w:p w14:paraId="306686A9">
      <w:pPr>
        <w:pStyle w:val="32"/>
        <w:numPr>
          <w:ilvl w:val="0"/>
          <w:numId w:val="2"/>
        </w:numPr>
        <w:spacing w:line="276" w:lineRule="auto"/>
        <w:ind w:left="1134"/>
        <w:contextualSpacing w:val="0"/>
        <w:rPr>
          <w:rFonts w:hint="eastAsia" w:ascii="宋体" w:hAnsi="宋体" w:eastAsia="宋体"/>
        </w:rPr>
      </w:pPr>
      <w:r>
        <w:rPr>
          <w:rFonts w:hint="eastAsia" w:ascii="宋体" w:hAnsi="宋体" w:eastAsia="宋体"/>
        </w:rPr>
        <w:t>再认证费用：</w:t>
      </w:r>
    </w:p>
    <w:p w14:paraId="100A3C1A">
      <w:pPr>
        <w:pStyle w:val="32"/>
        <w:spacing w:line="276" w:lineRule="auto"/>
        <w:ind w:left="1134"/>
        <w:contextualSpacing w:val="0"/>
        <w:rPr>
          <w:rFonts w:hint="eastAsia" w:ascii="宋体" w:hAnsi="宋体" w:eastAsia="宋体"/>
        </w:rPr>
      </w:pPr>
      <w:r>
        <w:rPr>
          <w:rFonts w:hint="eastAsia" w:ascii="宋体" w:hAnsi="宋体" w:eastAsia="宋体"/>
        </w:rPr>
        <w:t>年金、审核费合计：</w:t>
      </w:r>
      <w:r>
        <w:rPr>
          <w:rFonts w:ascii="宋体" w:hAnsi="宋体" w:eastAsia="宋体"/>
          <w:u w:val="thick"/>
        </w:rPr>
        <w:t xml:space="preserve">        </w:t>
      </w:r>
      <w:r>
        <w:rPr>
          <w:rFonts w:ascii="宋体" w:hAnsi="宋体" w:eastAsia="宋体"/>
        </w:rPr>
        <w:t>元</w:t>
      </w:r>
      <w:r>
        <w:rPr>
          <w:rFonts w:hint="eastAsia" w:ascii="宋体" w:hAnsi="宋体" w:eastAsia="宋体"/>
        </w:rPr>
        <w:t>（人民币大写：</w:t>
      </w:r>
      <w:r>
        <w:rPr>
          <w:rFonts w:hint="eastAsia" w:ascii="宋体" w:hAnsi="宋体" w:eastAsia="宋体"/>
          <w:u w:val="thick"/>
        </w:rPr>
        <w:t xml:space="preserve">   拾   万   仟   佰   拾   元</w:t>
      </w:r>
      <w:r>
        <w:rPr>
          <w:rFonts w:hint="eastAsia" w:ascii="宋体" w:hAnsi="宋体" w:eastAsia="宋体"/>
        </w:rPr>
        <w:t>）。</w:t>
      </w:r>
    </w:p>
    <w:p w14:paraId="460A3654">
      <w:pPr>
        <w:pStyle w:val="32"/>
        <w:numPr>
          <w:ilvl w:val="0"/>
          <w:numId w:val="2"/>
        </w:numPr>
        <w:spacing w:line="276" w:lineRule="auto"/>
        <w:ind w:left="1134"/>
        <w:contextualSpacing w:val="0"/>
        <w:rPr>
          <w:rFonts w:hint="eastAsia" w:ascii="宋体" w:hAnsi="宋体" w:eastAsia="宋体"/>
        </w:rPr>
      </w:pPr>
      <w:r>
        <w:rPr>
          <w:rFonts w:hint="eastAsia" w:ascii="宋体" w:hAnsi="宋体" w:eastAsia="宋体"/>
        </w:rPr>
        <w:t>增加证书副本费用：中、英文证书副本</w:t>
      </w:r>
      <w:r>
        <w:rPr>
          <w:rFonts w:ascii="宋体" w:hAnsi="宋体" w:eastAsia="宋体"/>
          <w:u w:val="thick"/>
        </w:rPr>
        <w:t xml:space="preserve">     </w:t>
      </w:r>
      <w:r>
        <w:rPr>
          <w:rFonts w:ascii="宋体" w:hAnsi="宋体" w:eastAsia="宋体"/>
        </w:rPr>
        <w:t>元/套；200元/张（需要时）</w:t>
      </w:r>
    </w:p>
    <w:p w14:paraId="20BB07F4">
      <w:pPr>
        <w:spacing w:line="276" w:lineRule="auto"/>
        <w:ind w:firstLine="420" w:firstLineChars="200"/>
        <w:rPr>
          <w:rFonts w:hint="eastAsia" w:ascii="宋体" w:hAnsi="宋体" w:eastAsia="宋体"/>
        </w:rPr>
      </w:pPr>
      <w:r>
        <w:rPr>
          <w:rFonts w:hint="eastAsia" w:ascii="宋体" w:hAnsi="宋体" w:eastAsia="宋体"/>
        </w:rPr>
        <w:t>2.初次审核付款方式：本合同签订之日起</w:t>
      </w:r>
      <w:r>
        <w:rPr>
          <w:rFonts w:ascii="宋体" w:hAnsi="宋体" w:eastAsia="宋体"/>
        </w:rPr>
        <w:t>3日内由甲方</w:t>
      </w:r>
      <w:r>
        <w:rPr>
          <w:rFonts w:hint="eastAsia" w:ascii="宋体" w:hAnsi="宋体" w:eastAsia="宋体"/>
          <w:color w:val="000000" w:themeColor="text1"/>
          <w14:textFill>
            <w14:solidFill>
              <w14:schemeClr w14:val="tx1"/>
            </w14:solidFill>
          </w14:textFill>
        </w:rPr>
        <w:t>全额直接</w:t>
      </w:r>
      <w:r>
        <w:rPr>
          <w:rFonts w:ascii="宋体" w:hAnsi="宋体" w:eastAsia="宋体"/>
        </w:rPr>
        <w:t>支付给乙方认证费用</w:t>
      </w:r>
      <w:r>
        <w:rPr>
          <w:rFonts w:hint="eastAsia" w:ascii="宋体" w:hAnsi="宋体" w:eastAsia="宋体"/>
        </w:rPr>
        <w:t>；</w:t>
      </w:r>
      <w:bookmarkStart w:id="0" w:name="_GoBack"/>
      <w:bookmarkEnd w:id="0"/>
    </w:p>
    <w:p w14:paraId="422CE8E4">
      <w:pPr>
        <w:spacing w:line="276" w:lineRule="auto"/>
        <w:ind w:firstLine="420" w:firstLineChars="200"/>
        <w:rPr>
          <w:rFonts w:hint="eastAsia" w:ascii="宋体" w:hAnsi="宋体" w:eastAsia="宋体"/>
        </w:rPr>
      </w:pPr>
      <w:r>
        <w:rPr>
          <w:rFonts w:hint="eastAsia" w:ascii="宋体" w:hAnsi="宋体" w:eastAsia="宋体"/>
        </w:rPr>
        <w:t>3.监督审核和再认证审核付款方式为：甲方须在实施现场审核前全额直接支付给乙方（在接到监督</w:t>
      </w:r>
      <w:r>
        <w:rPr>
          <w:rFonts w:ascii="宋体" w:hAnsi="宋体" w:eastAsia="宋体"/>
        </w:rPr>
        <w:t>/再认证审核</w:t>
      </w:r>
      <w:r>
        <w:rPr>
          <w:rFonts w:hint="eastAsia" w:ascii="宋体" w:hAnsi="宋体" w:eastAsia="宋体"/>
        </w:rPr>
        <w:t>沟通函后十日内汇至乙方公司账户）；</w:t>
      </w:r>
    </w:p>
    <w:p w14:paraId="4FEF5715">
      <w:pPr>
        <w:spacing w:line="276" w:lineRule="auto"/>
        <w:ind w:firstLine="420" w:firstLineChars="200"/>
        <w:rPr>
          <w:rFonts w:hint="eastAsia" w:ascii="宋体" w:hAnsi="宋体" w:eastAsia="宋体"/>
        </w:rPr>
      </w:pPr>
      <w:r>
        <w:rPr>
          <w:rFonts w:hint="eastAsia" w:ascii="宋体" w:hAnsi="宋体" w:eastAsia="宋体"/>
        </w:rPr>
        <w:t>4.乙方派出的审核人员的食宿交通费用按实际支出由甲方承担；</w:t>
      </w:r>
    </w:p>
    <w:p w14:paraId="2BEC9BD1">
      <w:pPr>
        <w:spacing w:line="276" w:lineRule="auto"/>
        <w:ind w:firstLine="420" w:firstLineChars="200"/>
        <w:rPr>
          <w:rFonts w:hint="eastAsia" w:ascii="宋体" w:hAnsi="宋体" w:eastAsia="宋体"/>
        </w:rPr>
      </w:pPr>
      <w:r>
        <w:rPr>
          <w:rFonts w:hint="eastAsia" w:ascii="宋体" w:hAnsi="宋体" w:eastAsia="宋体"/>
        </w:rPr>
        <w:t>5.由于责任方原因造成审核人/日数或费用的增加，其增加部分应由责任方承担；</w:t>
      </w:r>
    </w:p>
    <w:p w14:paraId="06D05DB1">
      <w:pPr>
        <w:spacing w:line="276" w:lineRule="auto"/>
        <w:ind w:firstLine="420" w:firstLineChars="200"/>
        <w:rPr>
          <w:rFonts w:hint="eastAsia" w:ascii="宋体" w:hAnsi="宋体" w:eastAsia="宋体"/>
        </w:rPr>
      </w:pPr>
      <w:r>
        <w:rPr>
          <w:rFonts w:hint="eastAsia" w:ascii="宋体" w:hAnsi="宋体" w:eastAsia="宋体"/>
        </w:rPr>
        <w:t>6.当甲方因发生严重投诉、严重事故、严重不合格、企业名称、范围变更、经营地址变更、标准换版等情况，乙方须向甲方追加现场审核时，乙方将向甲方收取追加现场审核所发生的费用，其费用按实际工作状况重新核算；</w:t>
      </w:r>
    </w:p>
    <w:p w14:paraId="665DA52F">
      <w:pPr>
        <w:spacing w:line="276" w:lineRule="auto"/>
        <w:ind w:firstLine="420" w:firstLineChars="200"/>
        <w:rPr>
          <w:rFonts w:hint="eastAsia" w:ascii="宋体" w:hAnsi="宋体" w:eastAsia="宋体"/>
        </w:rPr>
      </w:pPr>
      <w:r>
        <w:rPr>
          <w:rFonts w:hint="eastAsia" w:ascii="宋体" w:hAnsi="宋体" w:eastAsia="宋体"/>
        </w:rPr>
        <w:t>7.当甲方的产品在国家监督抽查中被查出不合格或重大安全环保事故时，乙方对甲方增加实施监督审核（监督审核将在国家市场监督管理总局发布公告起30日内完成），甲方按本合同支付给乙方监督审核费用。</w:t>
      </w:r>
    </w:p>
    <w:p w14:paraId="2C69F6D9">
      <w:pPr>
        <w:pStyle w:val="32"/>
        <w:numPr>
          <w:ilvl w:val="0"/>
          <w:numId w:val="1"/>
        </w:numPr>
        <w:spacing w:before="156" w:beforeLines="50" w:line="276" w:lineRule="auto"/>
        <w:ind w:left="426" w:hanging="454"/>
        <w:contextualSpacing w:val="0"/>
        <w:outlineLvl w:val="0"/>
        <w:rPr>
          <w:rFonts w:hint="eastAsia" w:ascii="宋体" w:hAnsi="宋体" w:eastAsia="宋体"/>
          <w:b/>
          <w:bCs/>
        </w:rPr>
      </w:pPr>
      <w:r>
        <w:rPr>
          <w:rFonts w:hint="eastAsia" w:ascii="宋体" w:hAnsi="宋体" w:eastAsia="宋体"/>
          <w:b/>
          <w:bCs/>
        </w:rPr>
        <w:t>双方的权利和义务</w:t>
      </w:r>
    </w:p>
    <w:p w14:paraId="34F68365">
      <w:pPr>
        <w:spacing w:line="276" w:lineRule="auto"/>
        <w:ind w:firstLine="420" w:firstLineChars="200"/>
        <w:rPr>
          <w:rFonts w:hint="eastAsia" w:ascii="宋体" w:hAnsi="宋体" w:eastAsia="宋体"/>
        </w:rPr>
      </w:pPr>
      <w:r>
        <w:rPr>
          <w:rFonts w:hint="eastAsia" w:ascii="宋体" w:hAnsi="宋体" w:eastAsia="宋体"/>
        </w:rPr>
        <w:t>1.甲方权利和义务</w:t>
      </w:r>
    </w:p>
    <w:p w14:paraId="590F9A36">
      <w:pPr>
        <w:pStyle w:val="32"/>
        <w:numPr>
          <w:ilvl w:val="0"/>
          <w:numId w:val="3"/>
        </w:numPr>
        <w:spacing w:line="276" w:lineRule="auto"/>
        <w:ind w:left="851" w:hanging="221"/>
        <w:rPr>
          <w:rFonts w:hint="eastAsia" w:ascii="宋体" w:hAnsi="宋体" w:eastAsia="宋体"/>
        </w:rPr>
      </w:pPr>
      <w:r>
        <w:rPr>
          <w:rFonts w:hint="eastAsia" w:ascii="宋体" w:hAnsi="宋体" w:eastAsia="宋体"/>
        </w:rPr>
        <w:t>向乙方如实提供认证申请的有关文件和资料，且甲方应承诺所提供的文件和资料是真实合法的，一旦有证据表明甲方提供不真实的文件和资料，乙方有权随时撤销已颁发给甲方的认证证书；</w:t>
      </w:r>
    </w:p>
    <w:p w14:paraId="30DC67B3">
      <w:pPr>
        <w:pStyle w:val="32"/>
        <w:numPr>
          <w:ilvl w:val="0"/>
          <w:numId w:val="3"/>
        </w:numPr>
        <w:spacing w:line="276" w:lineRule="auto"/>
        <w:ind w:left="851" w:hanging="221"/>
        <w:rPr>
          <w:rFonts w:hint="eastAsia" w:ascii="宋体" w:hAnsi="宋体" w:eastAsia="宋体"/>
        </w:rPr>
      </w:pPr>
      <w:r>
        <w:rPr>
          <w:rFonts w:hint="eastAsia" w:ascii="宋体" w:hAnsi="宋体" w:eastAsia="宋体"/>
        </w:rPr>
        <w:t>向乙方提供真实有效的管理体系成文信息（如：手册、程序、记录等），并充分证明管理/服务认证体系运行三个月以上；</w:t>
      </w:r>
    </w:p>
    <w:p w14:paraId="52CB2C59">
      <w:pPr>
        <w:pStyle w:val="32"/>
        <w:numPr>
          <w:ilvl w:val="0"/>
          <w:numId w:val="3"/>
        </w:numPr>
        <w:spacing w:line="276" w:lineRule="auto"/>
        <w:ind w:left="851" w:hanging="221"/>
        <w:rPr>
          <w:rFonts w:hint="eastAsia" w:ascii="宋体" w:hAnsi="宋体" w:eastAsia="宋体"/>
        </w:rPr>
      </w:pPr>
      <w:r>
        <w:rPr>
          <w:rFonts w:hint="eastAsia" w:ascii="宋体" w:hAnsi="宋体" w:eastAsia="宋体"/>
        </w:rPr>
        <w:t>为现场审核组提供必要的交通、食宿、通讯、办公场所及其它必要的工作条件；</w:t>
      </w:r>
    </w:p>
    <w:p w14:paraId="1B44822E">
      <w:pPr>
        <w:pStyle w:val="32"/>
        <w:numPr>
          <w:ilvl w:val="0"/>
          <w:numId w:val="3"/>
        </w:numPr>
        <w:spacing w:line="276" w:lineRule="auto"/>
        <w:ind w:left="851" w:hanging="221"/>
        <w:rPr>
          <w:rFonts w:hint="eastAsia" w:ascii="宋体" w:hAnsi="宋体" w:eastAsia="宋体"/>
        </w:rPr>
      </w:pPr>
      <w:r>
        <w:rPr>
          <w:rFonts w:hint="eastAsia" w:ascii="宋体" w:hAnsi="宋体" w:eastAsia="宋体"/>
        </w:rPr>
        <w:t>甲方在获得证书后，应持续有效运行管理体系；应遵守认证认可相关法律、法规和规章，对国家认监委和地方认证监督管理部门实施的监督检查予以配合和协助，对有关事项的询问和调查如实提供相关材料和信息；</w:t>
      </w:r>
    </w:p>
    <w:p w14:paraId="5288D89F">
      <w:pPr>
        <w:pStyle w:val="32"/>
        <w:numPr>
          <w:ilvl w:val="0"/>
          <w:numId w:val="3"/>
        </w:numPr>
        <w:spacing w:line="276" w:lineRule="auto"/>
        <w:ind w:left="851" w:hanging="221"/>
        <w:rPr>
          <w:rFonts w:hint="eastAsia" w:ascii="宋体" w:hAnsi="宋体" w:eastAsia="宋体"/>
        </w:rPr>
      </w:pPr>
      <w:r>
        <w:rPr>
          <w:rFonts w:ascii="宋体" w:hAnsi="宋体" w:eastAsia="宋体"/>
          <w:bCs/>
          <w:szCs w:val="21"/>
        </w:rPr>
        <w:t>甲方在获得认证后，应按规定接受监督审核、再认证审核及各种特殊审核</w:t>
      </w:r>
      <w:r>
        <w:rPr>
          <w:rFonts w:hint="eastAsia" w:ascii="宋体" w:hAnsi="宋体" w:eastAsia="宋体"/>
          <w:bCs/>
          <w:szCs w:val="21"/>
        </w:rPr>
        <w:t>，并按合同约定向乙方支付审核费用和其他费用</w:t>
      </w:r>
      <w:r>
        <w:rPr>
          <w:rFonts w:ascii="宋体" w:hAnsi="宋体" w:eastAsia="宋体"/>
          <w:bCs/>
          <w:szCs w:val="21"/>
        </w:rPr>
        <w:t>；</w:t>
      </w:r>
    </w:p>
    <w:p w14:paraId="14C2030C">
      <w:pPr>
        <w:pStyle w:val="32"/>
        <w:numPr>
          <w:ilvl w:val="0"/>
          <w:numId w:val="3"/>
        </w:numPr>
        <w:spacing w:line="276" w:lineRule="auto"/>
        <w:ind w:left="851" w:hanging="221"/>
        <w:rPr>
          <w:rFonts w:hint="eastAsia" w:ascii="宋体" w:hAnsi="宋体" w:eastAsia="宋体"/>
        </w:rPr>
      </w:pPr>
      <w:r>
        <w:rPr>
          <w:rFonts w:hint="eastAsia" w:ascii="宋体" w:hAnsi="宋体" w:eastAsia="宋体"/>
        </w:rPr>
        <w:t>接受乙方及相关认可机构安排的见证评审任务和必要的特殊审核，接受认证监管部门的非例行检查，接受认可机构直接对获证组织管理体系运行及受审核过程进行现场验证，并在见证评审或非例行检查或现场验证过程中给予必要的配合；</w:t>
      </w:r>
    </w:p>
    <w:p w14:paraId="1C4B9B72">
      <w:pPr>
        <w:pStyle w:val="32"/>
        <w:numPr>
          <w:ilvl w:val="0"/>
          <w:numId w:val="3"/>
        </w:numPr>
        <w:spacing w:line="276" w:lineRule="auto"/>
        <w:ind w:left="851" w:hanging="221"/>
        <w:rPr>
          <w:rFonts w:hint="eastAsia" w:ascii="宋体" w:hAnsi="宋体" w:eastAsia="宋体"/>
        </w:rPr>
      </w:pPr>
      <w:r>
        <w:rPr>
          <w:rFonts w:hint="eastAsia" w:ascii="宋体" w:hAnsi="宋体" w:eastAsia="宋体"/>
        </w:rPr>
        <w:t>甲方获得认证后发生以下情况时，应及时向认证机构通报，并接受乙方按照有关规定决定的特殊审核或现场验证，并支付乙方审核所发生的费用（包括审核人员的食、宿、交通等费用），</w:t>
      </w:r>
      <w:r>
        <w:rPr>
          <w:rFonts w:hint="eastAsia" w:ascii="宋体" w:hAnsi="宋体" w:eastAsia="宋体" w:cs="宋体"/>
          <w:szCs w:val="21"/>
        </w:rPr>
        <w:t>若甲方未及时通报乙方，则乙方有权先行暂停认证证书，并将保留追究相关法律责任的权利或者其他措施</w:t>
      </w:r>
      <w:r>
        <w:rPr>
          <w:rFonts w:hint="eastAsia" w:ascii="宋体" w:hAnsi="宋体" w:eastAsia="宋体"/>
        </w:rPr>
        <w:t>：</w:t>
      </w:r>
    </w:p>
    <w:p w14:paraId="55157CCF">
      <w:pPr>
        <w:pStyle w:val="32"/>
        <w:numPr>
          <w:ilvl w:val="0"/>
          <w:numId w:val="4"/>
        </w:numPr>
        <w:spacing w:line="276" w:lineRule="auto"/>
        <w:rPr>
          <w:rFonts w:hint="eastAsia" w:ascii="宋体" w:hAnsi="宋体" w:eastAsia="宋体" w:cs="宋体"/>
          <w:szCs w:val="21"/>
        </w:rPr>
      </w:pPr>
      <w:r>
        <w:rPr>
          <w:rFonts w:hint="eastAsia" w:ascii="宋体" w:hAnsi="宋体" w:eastAsia="宋体" w:cs="宋体"/>
          <w:szCs w:val="21"/>
        </w:rPr>
        <w:t>客户及相关方有重大投诉；</w:t>
      </w:r>
    </w:p>
    <w:p w14:paraId="564E4FBF">
      <w:pPr>
        <w:pStyle w:val="32"/>
        <w:numPr>
          <w:ilvl w:val="0"/>
          <w:numId w:val="4"/>
        </w:numPr>
        <w:spacing w:line="276" w:lineRule="auto"/>
        <w:rPr>
          <w:rFonts w:hint="eastAsia" w:ascii="宋体" w:hAnsi="宋体" w:eastAsia="宋体" w:cs="宋体"/>
          <w:szCs w:val="21"/>
        </w:rPr>
      </w:pPr>
      <w:r>
        <w:rPr>
          <w:rFonts w:hint="eastAsia" w:ascii="宋体" w:hAnsi="宋体" w:eastAsia="宋体" w:cs="宋体"/>
          <w:szCs w:val="21"/>
        </w:rPr>
        <w:t>生产、销售的产品或提供的服务被质量或市场监管部门认定不合格；</w:t>
      </w:r>
    </w:p>
    <w:p w14:paraId="54CAC801">
      <w:pPr>
        <w:pStyle w:val="32"/>
        <w:numPr>
          <w:ilvl w:val="0"/>
          <w:numId w:val="4"/>
        </w:numPr>
        <w:spacing w:line="276" w:lineRule="auto"/>
        <w:rPr>
          <w:rFonts w:hint="eastAsia" w:ascii="宋体" w:hAnsi="宋体" w:eastAsia="宋体" w:cs="宋体"/>
          <w:szCs w:val="21"/>
        </w:rPr>
      </w:pPr>
      <w:r>
        <w:rPr>
          <w:rFonts w:hint="eastAsia" w:ascii="宋体" w:hAnsi="宋体" w:eastAsia="宋体" w:cs="宋体"/>
          <w:szCs w:val="21"/>
        </w:rPr>
        <w:t>发生产品或服务的质量安全、环境污染或者职业健康安全有关的严重事故；</w:t>
      </w:r>
    </w:p>
    <w:p w14:paraId="1FC82326">
      <w:pPr>
        <w:pStyle w:val="32"/>
        <w:numPr>
          <w:ilvl w:val="0"/>
          <w:numId w:val="4"/>
        </w:numPr>
        <w:spacing w:line="276" w:lineRule="auto"/>
        <w:rPr>
          <w:rFonts w:hint="eastAsia" w:ascii="宋体" w:hAnsi="宋体" w:eastAsia="宋体" w:cs="宋体"/>
          <w:szCs w:val="21"/>
        </w:rPr>
      </w:pPr>
      <w:r>
        <w:rPr>
          <w:rFonts w:hint="eastAsia" w:ascii="宋体" w:hAnsi="宋体" w:eastAsia="宋体"/>
          <w:bCs/>
          <w:szCs w:val="21"/>
        </w:rPr>
        <w:t>导致监管机构介入的严重事件或违法的情况；</w:t>
      </w:r>
    </w:p>
    <w:p w14:paraId="6D571CED">
      <w:pPr>
        <w:pStyle w:val="32"/>
        <w:numPr>
          <w:ilvl w:val="0"/>
          <w:numId w:val="4"/>
        </w:numPr>
        <w:spacing w:line="276" w:lineRule="auto"/>
        <w:rPr>
          <w:rFonts w:hint="eastAsia" w:ascii="宋体" w:hAnsi="宋体" w:eastAsia="宋体" w:cs="宋体"/>
          <w:szCs w:val="21"/>
        </w:rPr>
      </w:pPr>
      <w:r>
        <w:rPr>
          <w:rFonts w:hint="eastAsia" w:ascii="宋体" w:hAnsi="宋体" w:eastAsia="宋体" w:cs="宋体"/>
          <w:szCs w:val="21"/>
        </w:rPr>
        <w:t>相关情况发生变更，包括：法律地位、生产经营状况、组织状态或所有权变更；取得的行政许可资格</w:t>
      </w:r>
      <w:r>
        <w:rPr>
          <w:rFonts w:hint="eastAsia" w:ascii="宋体" w:hAnsi="宋体" w:eastAsia="宋体"/>
        </w:rPr>
        <w:t>的变更</w:t>
      </w:r>
      <w:r>
        <w:rPr>
          <w:rFonts w:hint="eastAsia" w:ascii="宋体" w:hAnsi="宋体" w:eastAsia="宋体" w:cs="宋体"/>
          <w:szCs w:val="21"/>
        </w:rPr>
        <w:t>、强制性认证或其他资质证书变更；法定代表人、最高管理者</w:t>
      </w:r>
      <w:r>
        <w:rPr>
          <w:rFonts w:hint="eastAsia" w:ascii="宋体" w:hAnsi="宋体" w:eastAsia="宋体"/>
        </w:rPr>
        <w:t>变更</w:t>
      </w:r>
      <w:r>
        <w:rPr>
          <w:rFonts w:hint="eastAsia" w:ascii="宋体" w:hAnsi="宋体" w:eastAsia="宋体" w:cs="宋体"/>
          <w:szCs w:val="21"/>
        </w:rPr>
        <w:t>、管理者代表变更；生产经营或服务的工作场所变更；管理体系覆盖的活动范围变更；管理体系和重要过程的重大变更等。</w:t>
      </w:r>
    </w:p>
    <w:p w14:paraId="21E29740">
      <w:pPr>
        <w:pStyle w:val="32"/>
        <w:numPr>
          <w:ilvl w:val="0"/>
          <w:numId w:val="3"/>
        </w:numPr>
        <w:spacing w:line="276" w:lineRule="auto"/>
        <w:ind w:left="851" w:hanging="221"/>
        <w:rPr>
          <w:rFonts w:hint="eastAsia" w:ascii="宋体" w:hAnsi="宋体" w:eastAsia="宋体"/>
        </w:rPr>
      </w:pPr>
      <w:r>
        <w:rPr>
          <w:rFonts w:hint="eastAsia" w:ascii="宋体" w:hAnsi="宋体" w:eastAsia="宋体"/>
        </w:rPr>
        <w:t>甲方在获得证书后，按乙方公开文件的要求正确使用认证证书、认证标志和有关信息并正确引用认证状态，不得擅自利用管理体系认证证书和相关文字、符号误导公众认为其产品或服务通过认证；只就获准认证的范围作宣传。管理体系认证证书暂停期间甲方不得以任何方式使用认证证书、认证标志或引用认证信息。管理</w:t>
      </w:r>
      <w:r>
        <w:rPr>
          <w:rFonts w:ascii="宋体" w:hAnsi="宋体" w:eastAsia="宋体"/>
        </w:rPr>
        <w:t>/服务体系认证证书如被撤销，甲方应立即停止使用任何引用认证资格的广告材料，并将证书归还乙方。如认证范围被缩小，甲方应修改相关的形成文件的信息</w:t>
      </w:r>
      <w:r>
        <w:rPr>
          <w:rFonts w:hint="eastAsia" w:ascii="宋体" w:hAnsi="宋体" w:eastAsia="宋体"/>
        </w:rPr>
        <w:t>；</w:t>
      </w:r>
      <w:r>
        <w:rPr>
          <w:rFonts w:hint="eastAsia" w:ascii="宋体" w:hAnsi="宋体" w:eastAsia="宋体" w:cs="宋体"/>
        </w:rPr>
        <w:t>在使用认证资格时，不得使乙方和（或）认证制度声誉受损，失去公众信任。</w:t>
      </w:r>
    </w:p>
    <w:p w14:paraId="7AE05961">
      <w:pPr>
        <w:pStyle w:val="32"/>
        <w:numPr>
          <w:ilvl w:val="0"/>
          <w:numId w:val="3"/>
        </w:numPr>
        <w:spacing w:line="276" w:lineRule="auto"/>
        <w:ind w:left="851" w:hanging="221"/>
        <w:rPr>
          <w:rFonts w:hint="eastAsia" w:ascii="宋体" w:hAnsi="宋体" w:eastAsia="宋体"/>
        </w:rPr>
      </w:pPr>
      <w:r>
        <w:rPr>
          <w:rFonts w:hint="eastAsia" w:ascii="宋体" w:hAnsi="宋体" w:eastAsia="宋体"/>
          <w:bCs/>
          <w:szCs w:val="21"/>
        </w:rPr>
        <w:t>甲方证书被暂停期间或撤销时，应立即停止继续宣传获证资格，并立即停止使用宣传获证资格的广告资料；在认证范围被缩小时，应修改所有的广告材料。认证证书被暂停、撤销或注销后，甲方如继续在业务活动中（包括宣传材料、广告、名片、公函等）使用认证证书和认证标志，甲方承担由此引起的一切法律责任</w:t>
      </w:r>
    </w:p>
    <w:p w14:paraId="6A31ACD7">
      <w:pPr>
        <w:pStyle w:val="32"/>
        <w:numPr>
          <w:ilvl w:val="0"/>
          <w:numId w:val="3"/>
        </w:numPr>
        <w:spacing w:line="276" w:lineRule="auto"/>
        <w:ind w:left="993" w:hanging="363"/>
        <w:rPr>
          <w:rFonts w:hint="eastAsia" w:ascii="宋体" w:hAnsi="宋体" w:eastAsia="宋体"/>
        </w:rPr>
      </w:pPr>
      <w:r>
        <w:rPr>
          <w:rFonts w:hint="eastAsia" w:ascii="宋体" w:hAnsi="宋体" w:eastAsia="宋体" w:cs="宋体"/>
          <w:szCs w:val="21"/>
        </w:rPr>
        <w:t>甲方有权就认证活动向乙方或相关管理机构提出申诉和投诉。</w:t>
      </w:r>
    </w:p>
    <w:p w14:paraId="0048EEB6">
      <w:pPr>
        <w:pStyle w:val="11"/>
        <w:rPr>
          <w:rFonts w:hint="eastAsia"/>
        </w:rPr>
      </w:pPr>
      <w:r>
        <w:rPr>
          <w:rFonts w:hint="eastAsia"/>
        </w:rPr>
        <w:t>2.乙方权利和义务</w:t>
      </w:r>
    </w:p>
    <w:p w14:paraId="4B4FC569">
      <w:pPr>
        <w:pStyle w:val="32"/>
        <w:numPr>
          <w:ilvl w:val="0"/>
          <w:numId w:val="5"/>
        </w:numPr>
        <w:spacing w:line="276" w:lineRule="auto"/>
        <w:ind w:left="851" w:hanging="221"/>
        <w:rPr>
          <w:rFonts w:hint="eastAsia" w:ascii="宋体" w:hAnsi="宋体" w:eastAsia="宋体"/>
        </w:rPr>
      </w:pPr>
      <w:r>
        <w:rPr>
          <w:rFonts w:hint="eastAsia" w:ascii="宋体" w:hAnsi="宋体" w:eastAsia="宋体"/>
        </w:rPr>
        <w:t>向甲方提供资格证明文件及公开性文件；</w:t>
      </w:r>
    </w:p>
    <w:p w14:paraId="651447AE">
      <w:pPr>
        <w:pStyle w:val="32"/>
        <w:numPr>
          <w:ilvl w:val="0"/>
          <w:numId w:val="5"/>
        </w:numPr>
        <w:spacing w:line="276" w:lineRule="auto"/>
        <w:ind w:left="851" w:hanging="221"/>
        <w:rPr>
          <w:rFonts w:hint="eastAsia" w:ascii="宋体" w:hAnsi="宋体" w:eastAsia="宋体"/>
        </w:rPr>
      </w:pPr>
      <w:r>
        <w:rPr>
          <w:rFonts w:ascii="宋体" w:hAnsi="宋体" w:eastAsia="宋体"/>
        </w:rPr>
        <w:t>有权依据相关法律法规和有关认证规定，确定甲方认证注册范围，决定是否给予甲方认证注册和颁发证书</w:t>
      </w:r>
      <w:r>
        <w:rPr>
          <w:rFonts w:hint="eastAsia" w:ascii="宋体" w:hAnsi="宋体" w:eastAsia="宋体"/>
        </w:rPr>
        <w:t>；</w:t>
      </w:r>
    </w:p>
    <w:p w14:paraId="5E35FCBD">
      <w:pPr>
        <w:pStyle w:val="32"/>
        <w:numPr>
          <w:ilvl w:val="0"/>
          <w:numId w:val="5"/>
        </w:numPr>
        <w:spacing w:line="276" w:lineRule="auto"/>
        <w:ind w:left="851" w:hanging="221"/>
        <w:rPr>
          <w:rFonts w:hint="eastAsia" w:ascii="宋体" w:hAnsi="宋体" w:eastAsia="宋体"/>
        </w:rPr>
      </w:pPr>
      <w:r>
        <w:rPr>
          <w:rFonts w:ascii="宋体" w:hAnsi="宋体" w:eastAsia="宋体"/>
        </w:rPr>
        <w:t>如由于甲方谎报或瞒报企业人数</w:t>
      </w:r>
      <w:r>
        <w:rPr>
          <w:rFonts w:hint="eastAsia" w:ascii="宋体" w:hAnsi="宋体" w:eastAsia="宋体"/>
        </w:rPr>
        <w:t>、多场所数量等</w:t>
      </w:r>
      <w:r>
        <w:rPr>
          <w:rFonts w:ascii="宋体" w:hAnsi="宋体" w:eastAsia="宋体"/>
        </w:rPr>
        <w:t>造成审核人日增加的，乙方有权增加适当的认证费用</w:t>
      </w:r>
      <w:r>
        <w:rPr>
          <w:rFonts w:hint="eastAsia" w:ascii="宋体" w:hAnsi="宋体" w:eastAsia="宋体"/>
        </w:rPr>
        <w:t>；</w:t>
      </w:r>
    </w:p>
    <w:p w14:paraId="4D42FA39">
      <w:pPr>
        <w:pStyle w:val="32"/>
        <w:numPr>
          <w:ilvl w:val="0"/>
          <w:numId w:val="5"/>
        </w:numPr>
        <w:spacing w:line="276" w:lineRule="auto"/>
        <w:ind w:left="851" w:hanging="221"/>
        <w:rPr>
          <w:rFonts w:hint="eastAsia" w:ascii="宋体" w:hAnsi="宋体" w:eastAsia="宋体"/>
        </w:rPr>
      </w:pPr>
      <w:r>
        <w:rPr>
          <w:rFonts w:hint="eastAsia" w:ascii="宋体" w:hAnsi="宋体" w:eastAsia="宋体"/>
        </w:rPr>
        <w:t>甲方不履行本合同或中途单方终止审核或通过审核证明不满足认证要求的，乙方有权不颁发认证证书，但应收取已经发生的认证活动费用；</w:t>
      </w:r>
    </w:p>
    <w:p w14:paraId="5803B3C4">
      <w:pPr>
        <w:pStyle w:val="32"/>
        <w:numPr>
          <w:ilvl w:val="0"/>
          <w:numId w:val="5"/>
        </w:numPr>
        <w:spacing w:line="276" w:lineRule="auto"/>
        <w:ind w:left="851" w:hanging="221"/>
        <w:rPr>
          <w:rFonts w:hint="eastAsia" w:ascii="宋体" w:hAnsi="宋体" w:eastAsia="宋体"/>
        </w:rPr>
      </w:pPr>
      <w:r>
        <w:rPr>
          <w:rFonts w:hint="eastAsia" w:ascii="宋体" w:hAnsi="宋体" w:eastAsia="宋体"/>
        </w:rPr>
        <w:t>乙方对甲方的管理体系审核合格并对相关不符合的纠正措施的有效性跟踪验证后，推荐认证注册，经评定合格并批准后向甲方颁发体系认证证书。如果甲方不能在规定时间内对不符合进行纠正或采取纠正措施，乙方按相关认证认可规定做出不推荐认证的决定，前期所发生费用由甲方承担；</w:t>
      </w:r>
    </w:p>
    <w:p w14:paraId="78DFE835">
      <w:pPr>
        <w:pStyle w:val="32"/>
        <w:numPr>
          <w:ilvl w:val="0"/>
          <w:numId w:val="5"/>
        </w:numPr>
        <w:spacing w:line="276" w:lineRule="auto"/>
        <w:ind w:left="851" w:hanging="221"/>
        <w:rPr>
          <w:rFonts w:hint="eastAsia" w:ascii="宋体" w:hAnsi="宋体" w:eastAsia="宋体"/>
        </w:rPr>
      </w:pPr>
      <w:r>
        <w:rPr>
          <w:rFonts w:ascii="宋体" w:hAnsi="宋体" w:eastAsia="宋体"/>
        </w:rPr>
        <w:t>在证书有效期内，乙方有权按规定实施例行性监督审核、特殊审核及认证有效性稽查/抽查，否则，乙方有权暂停、撤销甲方的认证资格并要求甲方停止使用并退还相关的认证证书</w:t>
      </w:r>
      <w:r>
        <w:rPr>
          <w:rFonts w:hint="eastAsia" w:ascii="宋体" w:hAnsi="宋体" w:eastAsia="宋体"/>
        </w:rPr>
        <w:t>；</w:t>
      </w:r>
    </w:p>
    <w:p w14:paraId="05ADD96F">
      <w:pPr>
        <w:pStyle w:val="32"/>
        <w:numPr>
          <w:ilvl w:val="0"/>
          <w:numId w:val="5"/>
        </w:numPr>
        <w:spacing w:line="276" w:lineRule="auto"/>
        <w:ind w:left="851" w:hanging="221"/>
        <w:rPr>
          <w:rFonts w:hint="eastAsia" w:ascii="宋体" w:hAnsi="宋体" w:eastAsia="宋体"/>
        </w:rPr>
      </w:pPr>
      <w:r>
        <w:rPr>
          <w:rFonts w:ascii="宋体" w:hAnsi="宋体" w:eastAsia="宋体"/>
        </w:rPr>
        <w:t>甲方获准认证后，如不按时支付年金、监督审核费及审核人员的差旅费用，乙方有权暂停、撤销甲方的认证资格并要求甲方停止使用并退还相关的认证证书</w:t>
      </w:r>
      <w:r>
        <w:rPr>
          <w:rFonts w:hint="eastAsia" w:ascii="宋体" w:hAnsi="宋体" w:eastAsia="宋体"/>
        </w:rPr>
        <w:t>；</w:t>
      </w:r>
    </w:p>
    <w:p w14:paraId="368CFD3D">
      <w:pPr>
        <w:pStyle w:val="32"/>
        <w:numPr>
          <w:ilvl w:val="0"/>
          <w:numId w:val="6"/>
        </w:numPr>
        <w:spacing w:line="276" w:lineRule="auto"/>
        <w:ind w:left="851" w:hanging="221"/>
        <w:rPr>
          <w:rFonts w:hint="eastAsia" w:ascii="宋体" w:hAnsi="宋体" w:eastAsia="宋体"/>
        </w:rPr>
      </w:pPr>
      <w:r>
        <w:rPr>
          <w:rFonts w:ascii="宋体" w:hAnsi="宋体" w:eastAsia="宋体"/>
        </w:rPr>
        <w:t>有权依据甲方的违规行为，做出暂停或撤销甲方认证注册资格，收回证书的决定</w:t>
      </w:r>
      <w:r>
        <w:rPr>
          <w:rFonts w:hint="eastAsia" w:ascii="宋体" w:hAnsi="宋体" w:eastAsia="宋体"/>
        </w:rPr>
        <w:t>；</w:t>
      </w:r>
    </w:p>
    <w:p w14:paraId="59DBEFFD">
      <w:pPr>
        <w:pStyle w:val="32"/>
        <w:numPr>
          <w:ilvl w:val="0"/>
          <w:numId w:val="6"/>
        </w:numPr>
        <w:spacing w:line="276" w:lineRule="auto"/>
        <w:ind w:left="993" w:hanging="363"/>
        <w:rPr>
          <w:rFonts w:hint="eastAsia" w:ascii="宋体" w:hAnsi="宋体" w:eastAsia="宋体"/>
        </w:rPr>
      </w:pPr>
      <w:r>
        <w:rPr>
          <w:rFonts w:hint="eastAsia" w:ascii="宋体" w:hAnsi="宋体" w:eastAsia="宋体"/>
        </w:rPr>
        <w:t>乙方按照认监委的规定动态性公布甲方的获准、暂停、注销和撤销认证状态；</w:t>
      </w:r>
    </w:p>
    <w:p w14:paraId="6BD09257">
      <w:pPr>
        <w:pStyle w:val="32"/>
        <w:numPr>
          <w:ilvl w:val="0"/>
          <w:numId w:val="6"/>
        </w:numPr>
        <w:spacing w:line="276" w:lineRule="auto"/>
        <w:ind w:left="993" w:hanging="363"/>
        <w:rPr>
          <w:rFonts w:hint="eastAsia" w:ascii="宋体" w:hAnsi="宋体" w:eastAsia="宋体"/>
        </w:rPr>
      </w:pPr>
      <w:r>
        <w:rPr>
          <w:rFonts w:hint="eastAsia" w:ascii="宋体" w:hAnsi="宋体" w:eastAsia="宋体" w:cs="宋体"/>
          <w:szCs w:val="21"/>
        </w:rPr>
        <w:t>甲方有权就认证活动向乙方或相关管理机构提出申诉和投诉；</w:t>
      </w:r>
    </w:p>
    <w:p w14:paraId="08CB1363">
      <w:pPr>
        <w:pStyle w:val="32"/>
        <w:numPr>
          <w:ilvl w:val="0"/>
          <w:numId w:val="1"/>
        </w:numPr>
        <w:spacing w:before="156" w:beforeLines="50" w:line="276" w:lineRule="auto"/>
        <w:ind w:left="426" w:hanging="454"/>
        <w:contextualSpacing w:val="0"/>
        <w:outlineLvl w:val="0"/>
        <w:rPr>
          <w:rFonts w:hint="eastAsia" w:ascii="宋体" w:hAnsi="宋体" w:eastAsia="宋体"/>
          <w:b/>
          <w:bCs/>
        </w:rPr>
      </w:pPr>
      <w:r>
        <w:rPr>
          <w:rFonts w:hint="eastAsia" w:ascii="宋体" w:hAnsi="宋体" w:eastAsia="宋体"/>
          <w:b/>
          <w:bCs/>
        </w:rPr>
        <w:t>风险</w:t>
      </w:r>
    </w:p>
    <w:p w14:paraId="0380C5F5">
      <w:pPr>
        <w:spacing w:line="276" w:lineRule="auto"/>
        <w:ind w:left="-28" w:firstLine="420" w:firstLineChars="200"/>
        <w:rPr>
          <w:rFonts w:hint="eastAsia" w:ascii="宋体" w:hAnsi="宋体" w:eastAsia="宋体"/>
        </w:rPr>
      </w:pPr>
      <w:r>
        <w:rPr>
          <w:rFonts w:hint="eastAsia" w:ascii="宋体" w:hAnsi="宋体" w:eastAsia="宋体"/>
        </w:rPr>
        <w:t>1.甲方如达不到或不能保持认证要求和条件，承担不能取得认证证书或不能保持证书的风险；</w:t>
      </w:r>
    </w:p>
    <w:p w14:paraId="0755BF56">
      <w:pPr>
        <w:spacing w:line="276" w:lineRule="auto"/>
        <w:ind w:left="-28" w:firstLine="420" w:firstLineChars="200"/>
        <w:rPr>
          <w:rFonts w:hint="eastAsia" w:ascii="宋体" w:hAnsi="宋体" w:eastAsia="宋体"/>
        </w:rPr>
      </w:pPr>
      <w:r>
        <w:rPr>
          <w:rFonts w:hint="eastAsia" w:ascii="宋体" w:hAnsi="宋体" w:eastAsia="宋体"/>
        </w:rPr>
        <w:t>2.甲方获证后可能因达不到认证时的条件或不符合乙方相关的认证规则,将承担被乙方暂停、撤销使用认证证书和认证标识的风险；暂停期内及撤销认证资格时,立即停止使用证书和所有引用认证资格的宣传，证书撤销时应立即将证书交还乙方；</w:t>
      </w:r>
    </w:p>
    <w:p w14:paraId="4DAECE46">
      <w:pPr>
        <w:spacing w:line="276" w:lineRule="auto"/>
        <w:ind w:left="-28" w:firstLine="420" w:firstLineChars="200"/>
        <w:rPr>
          <w:rFonts w:hint="eastAsia" w:ascii="宋体" w:hAnsi="宋体" w:eastAsia="宋体"/>
        </w:rPr>
      </w:pPr>
      <w:r>
        <w:rPr>
          <w:rFonts w:hint="eastAsia" w:ascii="宋体" w:hAnsi="宋体" w:eastAsia="宋体"/>
        </w:rPr>
        <w:t>3.甲方合同期内隐瞒重要信息、提供虚假信息可能导致被撤销证书的风险；</w:t>
      </w:r>
    </w:p>
    <w:p w14:paraId="4A16A3CF">
      <w:pPr>
        <w:spacing w:line="276" w:lineRule="auto"/>
        <w:ind w:left="-28" w:firstLine="420" w:firstLineChars="200"/>
        <w:rPr>
          <w:rFonts w:hint="eastAsia" w:ascii="宋体" w:hAnsi="宋体" w:eastAsia="宋体"/>
        </w:rPr>
      </w:pPr>
      <w:r>
        <w:rPr>
          <w:rFonts w:hint="eastAsia" w:ascii="宋体" w:hAnsi="宋体" w:eastAsia="宋体"/>
        </w:rPr>
        <w:t>4.乙方承担在认证审核活动中，由于公正性和有效性管理失控而产生的风险。</w:t>
      </w:r>
    </w:p>
    <w:p w14:paraId="6F41B49C">
      <w:pPr>
        <w:pStyle w:val="32"/>
        <w:numPr>
          <w:ilvl w:val="0"/>
          <w:numId w:val="1"/>
        </w:numPr>
        <w:spacing w:before="156" w:beforeLines="50" w:line="276" w:lineRule="auto"/>
        <w:ind w:left="426" w:hanging="454"/>
        <w:contextualSpacing w:val="0"/>
        <w:outlineLvl w:val="0"/>
        <w:rPr>
          <w:rFonts w:hint="eastAsia" w:ascii="宋体" w:hAnsi="宋体" w:eastAsia="宋体"/>
          <w:b/>
          <w:bCs/>
        </w:rPr>
      </w:pPr>
      <w:r>
        <w:rPr>
          <w:rFonts w:hint="eastAsia" w:ascii="宋体" w:hAnsi="宋体" w:eastAsia="宋体"/>
          <w:b/>
          <w:bCs/>
        </w:rPr>
        <w:t>合同的生效与终止</w:t>
      </w:r>
    </w:p>
    <w:p w14:paraId="4BB8D00C">
      <w:pPr>
        <w:spacing w:line="276" w:lineRule="auto"/>
        <w:ind w:firstLine="420" w:firstLineChars="200"/>
        <w:rPr>
          <w:rFonts w:hint="eastAsia" w:ascii="宋体" w:hAnsi="宋体" w:eastAsia="宋体"/>
        </w:rPr>
      </w:pPr>
      <w:r>
        <w:rPr>
          <w:rFonts w:hint="eastAsia" w:ascii="宋体" w:hAnsi="宋体" w:eastAsia="宋体"/>
        </w:rPr>
        <w:t>1.本合同一式两份，自甲乙双方签字盖章完成签署之日起生效，甲乙双方各执一份</w:t>
      </w:r>
      <w:r>
        <w:rPr>
          <w:rFonts w:ascii="宋体" w:hAnsi="宋体" w:eastAsia="宋体"/>
        </w:rPr>
        <w:t>,具有同等的法律效力</w:t>
      </w:r>
      <w:r>
        <w:rPr>
          <w:rFonts w:hint="eastAsia" w:ascii="宋体" w:hAnsi="宋体" w:eastAsia="宋体"/>
        </w:rPr>
        <w:t>；</w:t>
      </w:r>
    </w:p>
    <w:p w14:paraId="3DC9297D">
      <w:pPr>
        <w:spacing w:line="276" w:lineRule="auto"/>
        <w:ind w:firstLine="420" w:firstLineChars="200"/>
        <w:rPr>
          <w:rFonts w:hint="eastAsia" w:ascii="宋体" w:hAnsi="宋体" w:eastAsia="宋体"/>
        </w:rPr>
      </w:pPr>
      <w:r>
        <w:rPr>
          <w:rFonts w:hint="eastAsia" w:ascii="宋体" w:hAnsi="宋体" w:eastAsia="宋体"/>
        </w:rPr>
        <w:t>2.本合同执行期间，双方所有的正式信息均应以书面形式文件表达；</w:t>
      </w:r>
    </w:p>
    <w:p w14:paraId="37426150">
      <w:pPr>
        <w:spacing w:line="276" w:lineRule="auto"/>
        <w:ind w:firstLine="420" w:firstLineChars="200"/>
        <w:rPr>
          <w:rFonts w:hint="eastAsia" w:ascii="宋体" w:hAnsi="宋体" w:eastAsia="宋体"/>
        </w:rPr>
      </w:pPr>
      <w:r>
        <w:rPr>
          <w:rFonts w:hint="eastAsia" w:ascii="宋体" w:hAnsi="宋体" w:eastAsia="宋体"/>
        </w:rPr>
        <w:t>3.本合同有效期为三年，注销或撤销认证证书的同时，本合同终止；</w:t>
      </w:r>
    </w:p>
    <w:p w14:paraId="2B897EF2">
      <w:pPr>
        <w:pStyle w:val="32"/>
        <w:numPr>
          <w:ilvl w:val="0"/>
          <w:numId w:val="1"/>
        </w:numPr>
        <w:spacing w:before="156" w:beforeLines="50" w:line="276" w:lineRule="auto"/>
        <w:ind w:left="426" w:hanging="454"/>
        <w:contextualSpacing w:val="0"/>
        <w:outlineLvl w:val="0"/>
        <w:rPr>
          <w:rFonts w:hint="eastAsia" w:ascii="宋体" w:hAnsi="宋体" w:eastAsia="宋体"/>
          <w:b/>
          <w:bCs/>
        </w:rPr>
      </w:pPr>
      <w:r>
        <w:rPr>
          <w:rFonts w:hint="eastAsia" w:ascii="宋体" w:hAnsi="宋体" w:eastAsia="宋体"/>
          <w:b/>
          <w:bCs/>
        </w:rPr>
        <w:t>合同争议的处理</w:t>
      </w:r>
    </w:p>
    <w:p w14:paraId="31D4924E">
      <w:pPr>
        <w:ind w:firstLine="420" w:firstLineChars="200"/>
        <w:rPr>
          <w:rFonts w:hint="eastAsia" w:ascii="宋体" w:hAnsi="宋体" w:eastAsia="宋体"/>
          <w:b/>
          <w:bCs/>
        </w:rPr>
      </w:pPr>
      <w:r>
        <w:rPr>
          <w:rFonts w:hint="eastAsia" w:ascii="宋体" w:hAnsi="宋体" w:eastAsia="宋体"/>
        </w:rPr>
        <w:t>本合同执行中所发生的争议，甲乙双方协商调解。协商调解不成，可依法定程序向双方所在地法院提出诉讼。</w:t>
      </w:r>
    </w:p>
    <w:p w14:paraId="4C0FE125">
      <w:pPr>
        <w:pStyle w:val="32"/>
        <w:numPr>
          <w:ilvl w:val="0"/>
          <w:numId w:val="1"/>
        </w:numPr>
        <w:spacing w:before="156" w:beforeLines="50" w:line="276" w:lineRule="auto"/>
        <w:ind w:left="426" w:hanging="454"/>
        <w:contextualSpacing w:val="0"/>
        <w:outlineLvl w:val="0"/>
        <w:rPr>
          <w:rFonts w:hint="eastAsia" w:ascii="宋体" w:hAnsi="宋体" w:eastAsia="宋体"/>
          <w:b/>
          <w:bCs/>
        </w:rPr>
      </w:pPr>
      <w:r>
        <w:rPr>
          <w:rFonts w:hint="eastAsia" w:ascii="宋体" w:hAnsi="宋体" w:eastAsia="宋体"/>
          <w:b/>
          <w:bCs/>
        </w:rPr>
        <w:t>违约责任</w:t>
      </w:r>
    </w:p>
    <w:p w14:paraId="434D86E3">
      <w:pPr>
        <w:spacing w:line="276" w:lineRule="auto"/>
        <w:ind w:firstLine="420" w:firstLineChars="200"/>
        <w:rPr>
          <w:rFonts w:hint="eastAsia" w:ascii="宋体" w:hAnsi="宋体" w:eastAsia="宋体"/>
          <w:b/>
          <w:bCs/>
        </w:rPr>
      </w:pPr>
      <w:r>
        <w:rPr>
          <w:rFonts w:hint="eastAsia" w:ascii="宋体" w:hAnsi="宋体" w:eastAsia="宋体"/>
        </w:rPr>
        <w:t>甲乙双方必须认真执行合同，如签订合同后一方不能履行合同时，双方应协商解决。由于单方面终止合同所产生的经济损失由责任方承担。发生不可抗力的情况除外（不可抗力应是法律上认可的）。</w:t>
      </w:r>
    </w:p>
    <w:p w14:paraId="7CE811E6">
      <w:pPr>
        <w:pStyle w:val="32"/>
        <w:numPr>
          <w:ilvl w:val="0"/>
          <w:numId w:val="1"/>
        </w:numPr>
        <w:spacing w:before="156" w:beforeLines="50" w:line="276" w:lineRule="auto"/>
        <w:ind w:left="426" w:hanging="454"/>
        <w:contextualSpacing w:val="0"/>
        <w:outlineLvl w:val="0"/>
        <w:rPr>
          <w:rFonts w:hint="eastAsia" w:ascii="宋体" w:hAnsi="宋体" w:eastAsia="宋体"/>
          <w:b/>
          <w:bCs/>
        </w:rPr>
      </w:pPr>
      <w:r>
        <w:rPr>
          <w:rFonts w:hint="eastAsia" w:ascii="宋体" w:hAnsi="宋体" w:eastAsia="宋体"/>
          <w:b/>
          <w:bCs/>
        </w:rPr>
        <w:t>合同更改和补充</w:t>
      </w:r>
    </w:p>
    <w:p w14:paraId="359D3BFB">
      <w:pPr>
        <w:spacing w:line="276" w:lineRule="auto"/>
        <w:ind w:left="-28" w:firstLine="420" w:firstLineChars="200"/>
        <w:rPr>
          <w:rFonts w:hint="eastAsia" w:ascii="宋体" w:hAnsi="宋体" w:eastAsia="宋体"/>
        </w:rPr>
      </w:pPr>
      <w:r>
        <w:rPr>
          <w:rFonts w:hint="eastAsia" w:ascii="宋体" w:hAnsi="宋体" w:eastAsia="宋体"/>
        </w:rPr>
        <w:t>在合同有效期内，因合同一方提出变更或补充合同内容时，经双方协商同意后以书面附件的形式记录，签署《认证合同变更补充协议》或《管理体系变更申请表》，且附件作为本合同不可分割的组成部分与本合同具有相同的法律效力。补充协议或申请表中新内容生效后，本合同中与其相抵触的条款失效。</w:t>
      </w:r>
    </w:p>
    <w:p w14:paraId="1C821592">
      <w:pPr>
        <w:spacing w:line="276" w:lineRule="auto"/>
        <w:ind w:left="-28" w:firstLine="420" w:firstLineChars="200"/>
        <w:rPr>
          <w:rFonts w:hint="eastAsia" w:ascii="宋体" w:hAnsi="宋体" w:eastAsia="宋体"/>
        </w:rPr>
      </w:pPr>
    </w:p>
    <w:p w14:paraId="18345070">
      <w:pPr>
        <w:spacing w:line="276" w:lineRule="auto"/>
        <w:ind w:left="-28" w:firstLine="420" w:firstLineChars="200"/>
        <w:rPr>
          <w:rFonts w:hint="eastAsia" w:ascii="宋体" w:hAnsi="宋体" w:eastAsia="宋体"/>
        </w:rPr>
      </w:pPr>
    </w:p>
    <w:p w14:paraId="254E3931">
      <w:pPr>
        <w:spacing w:line="276" w:lineRule="auto"/>
        <w:ind w:left="-28" w:firstLine="420" w:firstLineChars="200"/>
        <w:rPr>
          <w:rFonts w:hint="eastAsia" w:ascii="宋体" w:hAnsi="宋体" w:eastAsia="宋体"/>
        </w:rPr>
      </w:pPr>
    </w:p>
    <w:tbl>
      <w:tblPr>
        <w:tblStyle w:val="17"/>
        <w:tblW w:w="0" w:type="auto"/>
        <w:tblInd w:w="-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4"/>
        <w:gridCol w:w="4814"/>
      </w:tblGrid>
      <w:tr w14:paraId="25371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tcPr>
          <w:p w14:paraId="1CEE214B">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委托方（甲方）：</w:t>
            </w:r>
          </w:p>
        </w:tc>
        <w:tc>
          <w:tcPr>
            <w:tcW w:w="4814" w:type="dxa"/>
          </w:tcPr>
          <w:p w14:paraId="767FF06B">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认证方（乙方）：青岛华中世纪认证有限公司</w:t>
            </w:r>
          </w:p>
        </w:tc>
      </w:tr>
      <w:tr w14:paraId="0E35E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tcPr>
          <w:p w14:paraId="4EB5AC57">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地址：</w:t>
            </w:r>
          </w:p>
        </w:tc>
        <w:tc>
          <w:tcPr>
            <w:tcW w:w="4814" w:type="dxa"/>
          </w:tcPr>
          <w:p w14:paraId="2AA16F42">
            <w:pPr>
              <w:spacing w:line="276" w:lineRule="auto"/>
              <w:ind w:left="600" w:hanging="600" w:hangingChars="300"/>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地址：山东省青岛市市南区</w:t>
            </w:r>
            <w:r>
              <w:rPr>
                <w:rFonts w:ascii="宋体" w:hAnsi="宋体" w:eastAsia="宋体" w:cs="Times New Roman"/>
                <w:kern w:val="0"/>
                <w:sz w:val="20"/>
                <w:szCs w:val="20"/>
              </w:rPr>
              <w:t>香港中路6号世贸中心B座423-5</w:t>
            </w:r>
          </w:p>
        </w:tc>
      </w:tr>
      <w:tr w14:paraId="294B9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tcPr>
          <w:p w14:paraId="4616EE50">
            <w:pPr>
              <w:spacing w:line="276" w:lineRule="auto"/>
              <w:jc w:val="left"/>
              <w:rPr>
                <w:rFonts w:hint="eastAsia" w:ascii="宋体" w:hAnsi="宋体" w:eastAsia="宋体" w:cs="Times New Roman"/>
                <w:kern w:val="0"/>
                <w:sz w:val="20"/>
                <w:szCs w:val="20"/>
              </w:rPr>
            </w:pPr>
            <w:r>
              <w:rPr>
                <w:rFonts w:ascii="宋体" w:hAnsi="宋体" w:eastAsia="宋体" w:cs="Times New Roman"/>
                <w:kern w:val="0"/>
                <w:sz w:val="20"/>
                <w:szCs w:val="20"/>
              </w:rPr>
              <w:t>电话</w:t>
            </w:r>
            <w:r>
              <w:rPr>
                <w:rFonts w:hint="eastAsia" w:ascii="宋体" w:hAnsi="宋体" w:eastAsia="宋体" w:cs="Times New Roman"/>
                <w:kern w:val="0"/>
                <w:sz w:val="20"/>
                <w:szCs w:val="20"/>
              </w:rPr>
              <w:t>：</w:t>
            </w:r>
          </w:p>
        </w:tc>
        <w:tc>
          <w:tcPr>
            <w:tcW w:w="4814" w:type="dxa"/>
          </w:tcPr>
          <w:p w14:paraId="78C1439B">
            <w:pPr>
              <w:spacing w:line="276" w:lineRule="auto"/>
              <w:jc w:val="left"/>
              <w:rPr>
                <w:rFonts w:hint="eastAsia" w:ascii="宋体" w:hAnsi="宋体" w:eastAsia="宋体" w:cs="Times New Roman"/>
                <w:kern w:val="0"/>
                <w:sz w:val="20"/>
                <w:szCs w:val="20"/>
              </w:rPr>
            </w:pPr>
            <w:r>
              <w:rPr>
                <w:rFonts w:ascii="宋体" w:hAnsi="宋体" w:eastAsia="宋体" w:cs="Times New Roman"/>
                <w:kern w:val="0"/>
                <w:sz w:val="20"/>
                <w:szCs w:val="20"/>
              </w:rPr>
              <w:t>电话</w:t>
            </w:r>
            <w:r>
              <w:rPr>
                <w:rFonts w:hint="eastAsia" w:ascii="宋体" w:hAnsi="宋体" w:eastAsia="宋体" w:cs="Times New Roman"/>
                <w:kern w:val="0"/>
                <w:sz w:val="20"/>
                <w:szCs w:val="20"/>
              </w:rPr>
              <w:t>：</w:t>
            </w:r>
            <w:r>
              <w:rPr>
                <w:rFonts w:ascii="宋体" w:hAnsi="宋体" w:eastAsia="宋体" w:cs="Times New Roman"/>
                <w:kern w:val="0"/>
                <w:sz w:val="20"/>
                <w:szCs w:val="20"/>
              </w:rPr>
              <w:t>0532-85910677</w:t>
            </w:r>
          </w:p>
        </w:tc>
      </w:tr>
      <w:tr w14:paraId="5B198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tcPr>
          <w:p w14:paraId="549E2EF4">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邮箱：</w:t>
            </w:r>
          </w:p>
        </w:tc>
        <w:tc>
          <w:tcPr>
            <w:tcW w:w="4814" w:type="dxa"/>
          </w:tcPr>
          <w:p w14:paraId="537C1AB6">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邮箱：</w:t>
            </w:r>
            <w:r>
              <w:rPr>
                <w:rFonts w:ascii="宋体" w:hAnsi="宋体" w:eastAsia="宋体" w:cs="Times New Roman"/>
                <w:kern w:val="0"/>
                <w:sz w:val="20"/>
                <w:szCs w:val="20"/>
              </w:rPr>
              <w:t>huazhongcentury@126.com</w:t>
            </w:r>
          </w:p>
        </w:tc>
      </w:tr>
      <w:tr w14:paraId="103B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tcPr>
          <w:p w14:paraId="7DDC02DD">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开户银行：</w:t>
            </w:r>
          </w:p>
        </w:tc>
        <w:tc>
          <w:tcPr>
            <w:tcW w:w="4814" w:type="dxa"/>
          </w:tcPr>
          <w:p w14:paraId="7C66D663">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开户银行：中国银行青岛香港路支行</w:t>
            </w:r>
          </w:p>
        </w:tc>
      </w:tr>
      <w:tr w14:paraId="31585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4814" w:type="dxa"/>
          </w:tcPr>
          <w:p w14:paraId="31626CAB">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账号：</w:t>
            </w:r>
          </w:p>
        </w:tc>
        <w:tc>
          <w:tcPr>
            <w:tcW w:w="4814" w:type="dxa"/>
          </w:tcPr>
          <w:p w14:paraId="27EFB0A4">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账号：</w:t>
            </w:r>
            <w:r>
              <w:rPr>
                <w:rFonts w:ascii="宋体" w:hAnsi="宋体" w:eastAsia="宋体" w:cs="Times New Roman"/>
                <w:kern w:val="0"/>
                <w:sz w:val="20"/>
                <w:szCs w:val="20"/>
              </w:rPr>
              <w:t>219537672501</w:t>
            </w:r>
          </w:p>
        </w:tc>
      </w:tr>
      <w:tr w14:paraId="6F6CB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4814" w:type="dxa"/>
            <w:vAlign w:val="center"/>
          </w:tcPr>
          <w:p w14:paraId="4429195D">
            <w:pPr>
              <w:spacing w:line="276" w:lineRule="auto"/>
              <w:jc w:val="both"/>
              <w:rPr>
                <w:rFonts w:hint="eastAsia" w:ascii="宋体" w:hAnsi="宋体" w:eastAsia="宋体" w:cs="Times New Roman"/>
                <w:kern w:val="0"/>
                <w:sz w:val="20"/>
                <w:szCs w:val="20"/>
              </w:rPr>
            </w:pPr>
            <w:r>
              <w:rPr>
                <w:rFonts w:hint="eastAsia" w:ascii="宋体" w:hAnsi="宋体" w:eastAsia="宋体" w:cs="Times New Roman"/>
                <w:kern w:val="0"/>
                <w:sz w:val="20"/>
                <w:szCs w:val="20"/>
              </w:rPr>
              <w:t>甲方法定代表人或委托人：</w:t>
            </w:r>
          </w:p>
        </w:tc>
        <w:tc>
          <w:tcPr>
            <w:tcW w:w="4814" w:type="dxa"/>
            <w:vAlign w:val="center"/>
          </w:tcPr>
          <w:p w14:paraId="77BED7E1">
            <w:pPr>
              <w:spacing w:line="276" w:lineRule="auto"/>
              <w:jc w:val="both"/>
              <w:rPr>
                <w:rFonts w:hint="eastAsia" w:ascii="宋体" w:hAnsi="宋体" w:eastAsia="宋体" w:cs="Times New Roman"/>
                <w:kern w:val="0"/>
                <w:sz w:val="20"/>
                <w:szCs w:val="20"/>
              </w:rPr>
            </w:pPr>
            <w:r>
              <w:rPr>
                <w:rFonts w:hint="eastAsia" w:ascii="宋体" w:hAnsi="宋体" w:eastAsia="宋体" w:cs="Times New Roman"/>
                <w:kern w:val="0"/>
                <w:sz w:val="20"/>
                <w:szCs w:val="20"/>
              </w:rPr>
              <w:t>乙方法定代表人或委托人：</w:t>
            </w:r>
          </w:p>
        </w:tc>
      </w:tr>
      <w:tr w14:paraId="0493B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4814" w:type="dxa"/>
          </w:tcPr>
          <w:p w14:paraId="0A31B6D2">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单位公章：</w:t>
            </w:r>
          </w:p>
        </w:tc>
        <w:tc>
          <w:tcPr>
            <w:tcW w:w="4814" w:type="dxa"/>
          </w:tcPr>
          <w:p w14:paraId="303F39A8">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单位公章：</w:t>
            </w:r>
          </w:p>
        </w:tc>
      </w:tr>
      <w:tr w14:paraId="3217E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814" w:type="dxa"/>
          </w:tcPr>
          <w:p w14:paraId="3C349374">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日</w:t>
            </w:r>
            <w:r>
              <w:rPr>
                <w:rFonts w:ascii="宋体" w:hAnsi="宋体" w:eastAsia="宋体" w:cs="Times New Roman"/>
                <w:kern w:val="0"/>
                <w:sz w:val="20"/>
                <w:szCs w:val="20"/>
              </w:rPr>
              <w:t xml:space="preserve">    期：</w:t>
            </w:r>
            <w:r>
              <w:rPr>
                <w:rFonts w:hint="eastAsia" w:ascii="宋体" w:hAnsi="宋体" w:eastAsia="宋体" w:cs="Times New Roman"/>
                <w:kern w:val="0"/>
                <w:sz w:val="20"/>
                <w:szCs w:val="20"/>
              </w:rPr>
              <w:t xml:space="preserve"> </w:t>
            </w:r>
            <w:r>
              <w:rPr>
                <w:rFonts w:ascii="宋体" w:hAnsi="宋体" w:eastAsia="宋体" w:cs="Times New Roman"/>
                <w:kern w:val="0"/>
                <w:sz w:val="20"/>
                <w:szCs w:val="20"/>
              </w:rPr>
              <w:t xml:space="preserve"> </w:t>
            </w:r>
            <w:r>
              <w:rPr>
                <w:rFonts w:hint="eastAsia" w:ascii="宋体" w:hAnsi="宋体" w:eastAsia="宋体" w:cs="Times New Roman"/>
                <w:kern w:val="0"/>
                <w:sz w:val="20"/>
                <w:szCs w:val="20"/>
              </w:rPr>
              <w:t xml:space="preserve"> </w:t>
            </w:r>
            <w:r>
              <w:rPr>
                <w:rFonts w:ascii="宋体" w:hAnsi="宋体" w:eastAsia="宋体" w:cs="Times New Roman"/>
                <w:kern w:val="0"/>
                <w:sz w:val="20"/>
                <w:szCs w:val="20"/>
              </w:rPr>
              <w:t xml:space="preserve"> 年  月  日</w:t>
            </w:r>
          </w:p>
        </w:tc>
        <w:tc>
          <w:tcPr>
            <w:tcW w:w="4814" w:type="dxa"/>
          </w:tcPr>
          <w:p w14:paraId="4809914C">
            <w:pPr>
              <w:spacing w:line="276" w:lineRule="auto"/>
              <w:jc w:val="left"/>
              <w:rPr>
                <w:rFonts w:hint="eastAsia" w:ascii="宋体" w:hAnsi="宋体" w:eastAsia="宋体" w:cs="Times New Roman"/>
                <w:kern w:val="0"/>
                <w:sz w:val="20"/>
                <w:szCs w:val="20"/>
              </w:rPr>
            </w:pPr>
            <w:r>
              <w:rPr>
                <w:rFonts w:hint="eastAsia" w:ascii="宋体" w:hAnsi="宋体" w:eastAsia="宋体" w:cs="Times New Roman"/>
                <w:kern w:val="0"/>
                <w:sz w:val="20"/>
                <w:szCs w:val="20"/>
              </w:rPr>
              <w:t>日</w:t>
            </w:r>
            <w:r>
              <w:rPr>
                <w:rFonts w:ascii="宋体" w:hAnsi="宋体" w:eastAsia="宋体" w:cs="Times New Roman"/>
                <w:kern w:val="0"/>
                <w:sz w:val="20"/>
                <w:szCs w:val="20"/>
              </w:rPr>
              <w:t xml:space="preserve">    期：</w:t>
            </w:r>
            <w:r>
              <w:rPr>
                <w:rFonts w:hint="eastAsia" w:ascii="宋体" w:hAnsi="宋体" w:eastAsia="宋体" w:cs="Times New Roman"/>
                <w:kern w:val="0"/>
                <w:sz w:val="20"/>
                <w:szCs w:val="20"/>
              </w:rPr>
              <w:t xml:space="preserve"> </w:t>
            </w:r>
            <w:r>
              <w:rPr>
                <w:rFonts w:ascii="宋体" w:hAnsi="宋体" w:eastAsia="宋体" w:cs="Times New Roman"/>
                <w:kern w:val="0"/>
                <w:sz w:val="20"/>
                <w:szCs w:val="20"/>
              </w:rPr>
              <w:t xml:space="preserve">   年  月  日</w:t>
            </w:r>
          </w:p>
        </w:tc>
      </w:tr>
    </w:tbl>
    <w:p w14:paraId="1DCAD7BA">
      <w:pPr>
        <w:spacing w:line="100" w:lineRule="exact"/>
        <w:ind w:left="-28" w:firstLine="422" w:firstLineChars="200"/>
        <w:rPr>
          <w:rFonts w:hint="eastAsia" w:ascii="宋体" w:hAnsi="宋体" w:eastAsia="宋体"/>
          <w:b/>
          <w:bCs/>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tblInd w:w="0" w:type="dxa"/>
      <w:tblBorders>
        <w:top w:val="single" w:color="auto" w:sz="12"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38"/>
      <w:gridCol w:w="3445"/>
      <w:gridCol w:w="3171"/>
    </w:tblGrid>
    <w:tr w14:paraId="4DBE116B">
      <w:tblPrEx>
        <w:tblBorders>
          <w:top w:val="single" w:color="auto" w:sz="12" w:space="0"/>
          <w:left w:val="none" w:color="auto" w:sz="0" w:space="0"/>
          <w:bottom w:val="none" w:color="auto" w:sz="0" w:space="0"/>
          <w:right w:val="none" w:color="auto" w:sz="0" w:space="0"/>
          <w:insideH w:val="none" w:color="auto" w:sz="0" w:space="0"/>
          <w:insideV w:val="none" w:color="auto" w:sz="0" w:space="0"/>
        </w:tblBorders>
      </w:tblPrEx>
      <w:tc>
        <w:tcPr>
          <w:tcW w:w="4853" w:type="dxa"/>
        </w:tcPr>
        <w:p w14:paraId="6D89BEB8">
          <w:pPr>
            <w:pStyle w:val="12"/>
            <w:rPr>
              <w:rFonts w:hint="eastAsia" w:ascii="Times New Roman" w:hAnsi="Times New Roman" w:eastAsia="黑体" w:cs="Times New Roman"/>
              <w:kern w:val="0"/>
              <w:lang w:val="en-US" w:eastAsia="zh-CN"/>
            </w:rPr>
          </w:pPr>
          <w:r>
            <w:rPr>
              <w:rFonts w:hint="eastAsia" w:ascii="黑体" w:hAnsi="黑体" w:eastAsia="黑体" w:cs="Times New Roman"/>
              <w:b/>
              <w:bCs/>
              <w:color w:val="000000"/>
              <w:kern w:val="0"/>
              <w:lang w:val="zh-CN"/>
            </w:rPr>
            <w:t>版次：</w:t>
          </w:r>
          <w:r>
            <w:rPr>
              <w:rFonts w:ascii="黑体" w:hAnsi="黑体" w:eastAsia="黑体" w:cs="Times New Roman"/>
              <w:b/>
              <w:bCs/>
              <w:color w:val="000000"/>
              <w:kern w:val="0"/>
              <w:lang w:val="zh-CN"/>
            </w:rPr>
            <w:t>B</w:t>
          </w:r>
          <w:r>
            <w:rPr>
              <w:rFonts w:hint="eastAsia" w:ascii="黑体" w:hAnsi="黑体" w:eastAsia="黑体" w:cs="Times New Roman"/>
              <w:b/>
              <w:bCs/>
              <w:color w:val="000000"/>
              <w:kern w:val="0"/>
              <w:lang w:val="zh-CN"/>
            </w:rPr>
            <w:t>/</w:t>
          </w:r>
          <w:r>
            <w:rPr>
              <w:rFonts w:hint="eastAsia" w:ascii="黑体" w:hAnsi="黑体" w:eastAsia="黑体" w:cs="Times New Roman"/>
              <w:b/>
              <w:bCs/>
              <w:color w:val="000000"/>
              <w:kern w:val="0"/>
              <w:lang w:val="en-US" w:eastAsia="zh-CN"/>
            </w:rPr>
            <w:t>1</w:t>
          </w:r>
        </w:p>
      </w:tc>
      <w:tc>
        <w:tcPr>
          <w:tcW w:w="4853" w:type="dxa"/>
        </w:tcPr>
        <w:p w14:paraId="58669A3E">
          <w:pPr>
            <w:pStyle w:val="12"/>
            <w:jc w:val="center"/>
            <w:rPr>
              <w:rFonts w:ascii="Times New Roman" w:hAnsi="Times New Roman" w:eastAsia="宋体" w:cs="Times New Roman"/>
              <w:kern w:val="0"/>
            </w:rPr>
          </w:pPr>
          <w:r>
            <w:rPr>
              <w:rFonts w:hint="eastAsia" w:ascii="黑体" w:hAnsi="黑体" w:eastAsia="黑体" w:cs="Times New Roman"/>
              <w:b/>
              <w:bCs/>
              <w:color w:val="000000"/>
              <w:kern w:val="0"/>
              <w:lang w:val="zh-CN"/>
            </w:rPr>
            <w:t>实施日期：2026-</w:t>
          </w:r>
          <w:r>
            <w:rPr>
              <w:rFonts w:ascii="黑体" w:hAnsi="黑体" w:eastAsia="黑体" w:cs="Times New Roman"/>
              <w:b/>
              <w:bCs/>
              <w:color w:val="000000"/>
              <w:kern w:val="0"/>
              <w:lang w:val="zh-CN"/>
            </w:rPr>
            <w:t>0</w:t>
          </w:r>
          <w:r>
            <w:rPr>
              <w:rFonts w:hint="eastAsia" w:ascii="黑体" w:hAnsi="黑体" w:eastAsia="黑体" w:cs="Times New Roman"/>
              <w:b/>
              <w:bCs/>
              <w:color w:val="000000"/>
              <w:kern w:val="0"/>
              <w:lang w:val="en-US" w:eastAsia="zh-CN"/>
            </w:rPr>
            <w:t>7</w:t>
          </w:r>
          <w:r>
            <w:rPr>
              <w:rFonts w:hint="eastAsia" w:ascii="黑体" w:hAnsi="黑体" w:eastAsia="黑体" w:cs="Times New Roman"/>
              <w:b/>
              <w:bCs/>
              <w:color w:val="000000"/>
              <w:kern w:val="0"/>
              <w:lang w:val="zh-CN"/>
            </w:rPr>
            <w:t>-</w:t>
          </w:r>
          <w:r>
            <w:rPr>
              <w:rFonts w:ascii="黑体" w:hAnsi="黑体" w:eastAsia="黑体" w:cs="Times New Roman"/>
              <w:b/>
              <w:bCs/>
              <w:color w:val="000000"/>
              <w:kern w:val="0"/>
              <w:lang w:val="zh-CN"/>
            </w:rPr>
            <w:t>01</w:t>
          </w:r>
        </w:p>
      </w:tc>
      <w:tc>
        <w:tcPr>
          <w:tcW w:w="4854" w:type="dxa"/>
        </w:tcPr>
        <w:p w14:paraId="73383109">
          <w:pPr>
            <w:pStyle w:val="12"/>
            <w:jc w:val="right"/>
            <w:rPr>
              <w:rFonts w:ascii="Times New Roman" w:hAnsi="Times New Roman" w:eastAsia="宋体" w:cs="Times New Roman"/>
              <w:kern w:val="0"/>
            </w:rPr>
          </w:pPr>
          <w:r>
            <w:rPr>
              <w:rFonts w:hint="eastAsia" w:ascii="黑体" w:hAnsi="黑体" w:eastAsia="黑体" w:cs="Times New Roman"/>
              <w:b/>
              <w:bCs/>
              <w:color w:val="000000"/>
              <w:kern w:val="0"/>
              <w:lang w:val="zh-CN"/>
            </w:rPr>
            <w:t xml:space="preserve">第 </w:t>
          </w:r>
          <w:r>
            <w:rPr>
              <w:rFonts w:hint="eastAsia" w:ascii="黑体" w:hAnsi="黑体" w:eastAsia="黑体" w:cs="Times New Roman"/>
              <w:b/>
              <w:bCs/>
              <w:color w:val="000000"/>
              <w:kern w:val="0"/>
            </w:rPr>
            <w:fldChar w:fldCharType="begin"/>
          </w:r>
          <w:r>
            <w:rPr>
              <w:rFonts w:hint="eastAsia" w:ascii="黑体" w:hAnsi="黑体" w:eastAsia="黑体" w:cs="Times New Roman"/>
              <w:b/>
              <w:bCs/>
              <w:color w:val="000000"/>
              <w:kern w:val="0"/>
            </w:rPr>
            <w:instrText xml:space="preserve">PAGE  \* Arabic  \* MERGEFORMAT</w:instrText>
          </w:r>
          <w:r>
            <w:rPr>
              <w:rFonts w:hint="eastAsia" w:ascii="黑体" w:hAnsi="黑体" w:eastAsia="黑体" w:cs="Times New Roman"/>
              <w:b/>
              <w:bCs/>
              <w:color w:val="000000"/>
              <w:kern w:val="0"/>
            </w:rPr>
            <w:fldChar w:fldCharType="separate"/>
          </w:r>
          <w:r>
            <w:rPr>
              <w:rFonts w:hint="eastAsia" w:ascii="黑体" w:hAnsi="黑体" w:eastAsia="黑体" w:cs="Times New Roman"/>
              <w:b/>
              <w:bCs/>
              <w:color w:val="000000"/>
              <w:kern w:val="0"/>
            </w:rPr>
            <w:t>6</w:t>
          </w:r>
          <w:r>
            <w:rPr>
              <w:rFonts w:hint="eastAsia" w:ascii="黑体" w:hAnsi="黑体" w:eastAsia="黑体" w:cs="Times New Roman"/>
              <w:b/>
              <w:bCs/>
              <w:color w:val="000000"/>
              <w:kern w:val="0"/>
            </w:rPr>
            <w:fldChar w:fldCharType="end"/>
          </w:r>
          <w:r>
            <w:rPr>
              <w:rFonts w:hint="eastAsia" w:ascii="黑体" w:hAnsi="黑体" w:eastAsia="黑体" w:cs="Times New Roman"/>
              <w:b/>
              <w:bCs/>
              <w:color w:val="000000"/>
              <w:kern w:val="0"/>
            </w:rPr>
            <w:t xml:space="preserve"> </w:t>
          </w:r>
          <w:r>
            <w:rPr>
              <w:rFonts w:hint="eastAsia" w:ascii="黑体" w:hAnsi="黑体" w:eastAsia="黑体" w:cs="Times New Roman"/>
              <w:b/>
              <w:bCs/>
              <w:color w:val="000000"/>
              <w:kern w:val="0"/>
              <w:lang w:val="zh-CN"/>
            </w:rPr>
            <w:t xml:space="preserve">页/共 </w:t>
          </w:r>
          <w:r>
            <w:rPr>
              <w:rFonts w:hint="eastAsia" w:ascii="黑体" w:hAnsi="黑体" w:eastAsia="黑体" w:cs="Times New Roman"/>
              <w:b/>
              <w:bCs/>
              <w:color w:val="000000"/>
              <w:kern w:val="0"/>
            </w:rPr>
            <w:fldChar w:fldCharType="begin"/>
          </w:r>
          <w:r>
            <w:rPr>
              <w:rFonts w:hint="eastAsia" w:ascii="黑体" w:hAnsi="黑体" w:eastAsia="黑体" w:cs="Times New Roman"/>
              <w:b/>
              <w:bCs/>
              <w:color w:val="000000"/>
              <w:kern w:val="0"/>
            </w:rPr>
            <w:instrText xml:space="preserve"> </w:instrText>
          </w:r>
          <w:r>
            <w:rPr>
              <w:rFonts w:ascii="黑体" w:hAnsi="黑体" w:eastAsia="黑体" w:cs="Times New Roman"/>
              <w:b/>
              <w:bCs/>
              <w:color w:val="000000"/>
              <w:kern w:val="0"/>
            </w:rPr>
            <w:instrText xml:space="preserve">NUMPAGES   \* MERGEFORMAT</w:instrText>
          </w:r>
          <w:r>
            <w:rPr>
              <w:rFonts w:hint="eastAsia" w:ascii="黑体" w:hAnsi="黑体" w:eastAsia="黑体" w:cs="Times New Roman"/>
              <w:b/>
              <w:bCs/>
              <w:color w:val="000000"/>
              <w:kern w:val="0"/>
            </w:rPr>
            <w:instrText xml:space="preserve"> </w:instrText>
          </w:r>
          <w:r>
            <w:rPr>
              <w:rFonts w:hint="eastAsia" w:ascii="黑体" w:hAnsi="黑体" w:eastAsia="黑体" w:cs="Times New Roman"/>
              <w:b/>
              <w:bCs/>
              <w:color w:val="000000"/>
              <w:kern w:val="0"/>
            </w:rPr>
            <w:fldChar w:fldCharType="separate"/>
          </w:r>
          <w:r>
            <w:rPr>
              <w:rFonts w:hint="eastAsia" w:ascii="黑体" w:hAnsi="黑体" w:eastAsia="黑体" w:cs="Times New Roman"/>
              <w:b/>
              <w:bCs/>
              <w:color w:val="000000"/>
              <w:kern w:val="0"/>
            </w:rPr>
            <w:t>5</w:t>
          </w:r>
          <w:r>
            <w:rPr>
              <w:rFonts w:hint="eastAsia" w:ascii="黑体" w:hAnsi="黑体" w:eastAsia="黑体" w:cs="Times New Roman"/>
              <w:b/>
              <w:bCs/>
              <w:color w:val="000000"/>
              <w:kern w:val="0"/>
            </w:rPr>
            <w:fldChar w:fldCharType="end"/>
          </w:r>
          <w:r>
            <w:rPr>
              <w:rFonts w:hint="eastAsia" w:ascii="黑体" w:hAnsi="黑体" w:eastAsia="黑体" w:cs="Times New Roman"/>
              <w:b/>
              <w:bCs/>
              <w:color w:val="000000"/>
              <w:kern w:val="0"/>
            </w:rPr>
            <w:t xml:space="preserve"> 页</w:t>
          </w:r>
        </w:p>
      </w:tc>
    </w:tr>
  </w:tbl>
  <w:p w14:paraId="63F46B76">
    <w:pPr>
      <w:pStyle w:val="12"/>
      <w:spacing w:line="100" w:lineRule="exact"/>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9"/>
      <w:gridCol w:w="4819"/>
    </w:tblGrid>
    <w:tr w14:paraId="17FEB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9" w:type="dxa"/>
          <w:tcBorders>
            <w:bottom w:val="single" w:color="auto" w:sz="12" w:space="0"/>
          </w:tcBorders>
          <w:vAlign w:val="bottom"/>
        </w:tcPr>
        <w:p w14:paraId="43BB81DA">
          <w:pPr>
            <w:pStyle w:val="13"/>
            <w:jc w:val="both"/>
            <w:rPr>
              <w:rFonts w:hint="eastAsia" w:ascii="黑体" w:hAnsi="黑体" w:eastAsia="黑体" w:cs="Times New Roman"/>
              <w:bCs/>
              <w:color w:val="000000" w:themeColor="text1"/>
              <w:kern w:val="0"/>
              <w:sz w:val="21"/>
              <w:szCs w:val="21"/>
              <w14:textFill>
                <w14:solidFill>
                  <w14:schemeClr w14:val="tx1"/>
                </w14:solidFill>
              </w14:textFill>
            </w:rPr>
          </w:pPr>
          <w:r>
            <w:rPr>
              <w:rFonts w:ascii="Times New Roman" w:hAnsi="Times New Roman" w:eastAsia="宋体" w:cs="Times New Roman"/>
              <w:kern w:val="0"/>
            </w:rPr>
            <w:drawing>
              <wp:anchor distT="0" distB="0" distL="114300" distR="114300" simplePos="0" relativeHeight="251659264" behindDoc="0" locked="0" layoutInCell="1" allowOverlap="1">
                <wp:simplePos x="0" y="0"/>
                <wp:positionH relativeFrom="margin">
                  <wp:posOffset>-64770</wp:posOffset>
                </wp:positionH>
                <wp:positionV relativeFrom="paragraph">
                  <wp:posOffset>-107950</wp:posOffset>
                </wp:positionV>
                <wp:extent cx="1190625" cy="276225"/>
                <wp:effectExtent l="0" t="0" r="0" b="952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90625" cy="276225"/>
                        </a:xfrm>
                        <a:prstGeom prst="rect">
                          <a:avLst/>
                        </a:prstGeom>
                        <a:noFill/>
                        <a:ln>
                          <a:noFill/>
                        </a:ln>
                      </pic:spPr>
                    </pic:pic>
                  </a:graphicData>
                </a:graphic>
              </wp:anchor>
            </w:drawing>
          </w:r>
        </w:p>
      </w:tc>
      <w:tc>
        <w:tcPr>
          <w:tcW w:w="4819" w:type="dxa"/>
          <w:tcBorders>
            <w:bottom w:val="single" w:color="auto" w:sz="12" w:space="0"/>
          </w:tcBorders>
          <w:vAlign w:val="bottom"/>
        </w:tcPr>
        <w:p w14:paraId="17970746">
          <w:pPr>
            <w:pStyle w:val="13"/>
            <w:jc w:val="right"/>
            <w:rPr>
              <w:rFonts w:hint="eastAsia" w:ascii="黑体" w:hAnsi="黑体" w:eastAsia="黑体" w:cs="Times New Roman"/>
              <w:bCs/>
              <w:color w:val="000000" w:themeColor="text1"/>
              <w:kern w:val="0"/>
              <w:sz w:val="36"/>
              <w:szCs w:val="36"/>
              <w14:textFill>
                <w14:solidFill>
                  <w14:schemeClr w14:val="tx1"/>
                </w14:solidFill>
              </w14:textFill>
            </w:rPr>
          </w:pPr>
          <w:r>
            <w:rPr>
              <w:rFonts w:ascii="黑体" w:hAnsi="黑体" w:eastAsia="黑体" w:cs="Times New Roman"/>
              <w:kern w:val="0"/>
              <w:sz w:val="21"/>
              <w:szCs w:val="21"/>
            </w:rPr>
            <w:t>HZSJ-B-04</w:t>
          </w:r>
        </w:p>
      </w:tc>
    </w:tr>
  </w:tbl>
  <w:p w14:paraId="75F1F44F">
    <w:pPr>
      <w:pStyle w:val="1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EA3B01"/>
    <w:multiLevelType w:val="multilevel"/>
    <w:tmpl w:val="25EA3B01"/>
    <w:lvl w:ilvl="0" w:tentative="0">
      <w:start w:val="1"/>
      <w:numFmt w:val="decimal"/>
      <w:lvlText w:val="%1）"/>
      <w:lvlJc w:val="left"/>
      <w:pPr>
        <w:ind w:left="1599" w:hanging="360"/>
      </w:pPr>
      <w:rPr>
        <w:rFonts w:hint="default"/>
        <w:b w:val="0"/>
      </w:rPr>
    </w:lvl>
    <w:lvl w:ilvl="1" w:tentative="0">
      <w:start w:val="1"/>
      <w:numFmt w:val="lowerLetter"/>
      <w:lvlText w:val="%2)"/>
      <w:lvlJc w:val="left"/>
      <w:pPr>
        <w:ind w:left="2119" w:hanging="440"/>
      </w:pPr>
    </w:lvl>
    <w:lvl w:ilvl="2" w:tentative="0">
      <w:start w:val="1"/>
      <w:numFmt w:val="lowerRoman"/>
      <w:lvlText w:val="%3."/>
      <w:lvlJc w:val="right"/>
      <w:pPr>
        <w:ind w:left="2559" w:hanging="440"/>
      </w:pPr>
    </w:lvl>
    <w:lvl w:ilvl="3" w:tentative="0">
      <w:start w:val="1"/>
      <w:numFmt w:val="decimal"/>
      <w:lvlText w:val="%4."/>
      <w:lvlJc w:val="left"/>
      <w:pPr>
        <w:ind w:left="2999" w:hanging="440"/>
      </w:pPr>
    </w:lvl>
    <w:lvl w:ilvl="4" w:tentative="0">
      <w:start w:val="1"/>
      <w:numFmt w:val="lowerLetter"/>
      <w:lvlText w:val="%5)"/>
      <w:lvlJc w:val="left"/>
      <w:pPr>
        <w:ind w:left="3439" w:hanging="440"/>
      </w:pPr>
    </w:lvl>
    <w:lvl w:ilvl="5" w:tentative="0">
      <w:start w:val="1"/>
      <w:numFmt w:val="lowerRoman"/>
      <w:lvlText w:val="%6."/>
      <w:lvlJc w:val="right"/>
      <w:pPr>
        <w:ind w:left="3879" w:hanging="440"/>
      </w:pPr>
    </w:lvl>
    <w:lvl w:ilvl="6" w:tentative="0">
      <w:start w:val="1"/>
      <w:numFmt w:val="decimal"/>
      <w:lvlText w:val="%7."/>
      <w:lvlJc w:val="left"/>
      <w:pPr>
        <w:ind w:left="4319" w:hanging="440"/>
      </w:pPr>
    </w:lvl>
    <w:lvl w:ilvl="7" w:tentative="0">
      <w:start w:val="1"/>
      <w:numFmt w:val="lowerLetter"/>
      <w:lvlText w:val="%8)"/>
      <w:lvlJc w:val="left"/>
      <w:pPr>
        <w:ind w:left="4759" w:hanging="440"/>
      </w:pPr>
    </w:lvl>
    <w:lvl w:ilvl="8" w:tentative="0">
      <w:start w:val="1"/>
      <w:numFmt w:val="lowerRoman"/>
      <w:lvlText w:val="%9."/>
      <w:lvlJc w:val="right"/>
      <w:pPr>
        <w:ind w:left="5199" w:hanging="440"/>
      </w:pPr>
    </w:lvl>
  </w:abstractNum>
  <w:abstractNum w:abstractNumId="1">
    <w:nsid w:val="3CE13847"/>
    <w:multiLevelType w:val="multilevel"/>
    <w:tmpl w:val="3CE13847"/>
    <w:lvl w:ilvl="0" w:tentative="0">
      <w:start w:val="8"/>
      <w:numFmt w:val="decimal"/>
      <w:lvlText w:val="%1)"/>
      <w:lvlJc w:val="left"/>
      <w:pPr>
        <w:ind w:left="-5" w:firstLine="573"/>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4D9632F"/>
    <w:multiLevelType w:val="multilevel"/>
    <w:tmpl w:val="54D9632F"/>
    <w:lvl w:ilvl="0" w:tentative="0">
      <w:start w:val="1"/>
      <w:numFmt w:val="lowerLetter"/>
      <w:lvlText w:val="%1）"/>
      <w:lvlJc w:val="left"/>
      <w:pPr>
        <w:ind w:left="1410" w:hanging="360"/>
      </w:pPr>
      <w:rPr>
        <w:rFonts w:hint="default" w:cstheme="minorBidi"/>
      </w:rPr>
    </w:lvl>
    <w:lvl w:ilvl="1" w:tentative="0">
      <w:start w:val="1"/>
      <w:numFmt w:val="lowerLetter"/>
      <w:lvlText w:val="%2)"/>
      <w:lvlJc w:val="left"/>
      <w:pPr>
        <w:ind w:left="1930" w:hanging="440"/>
      </w:pPr>
    </w:lvl>
    <w:lvl w:ilvl="2" w:tentative="0">
      <w:start w:val="1"/>
      <w:numFmt w:val="lowerRoman"/>
      <w:lvlText w:val="%3."/>
      <w:lvlJc w:val="right"/>
      <w:pPr>
        <w:ind w:left="2370" w:hanging="440"/>
      </w:pPr>
    </w:lvl>
    <w:lvl w:ilvl="3" w:tentative="0">
      <w:start w:val="1"/>
      <w:numFmt w:val="decimal"/>
      <w:lvlText w:val="%4."/>
      <w:lvlJc w:val="left"/>
      <w:pPr>
        <w:ind w:left="2810" w:hanging="440"/>
      </w:pPr>
    </w:lvl>
    <w:lvl w:ilvl="4" w:tentative="0">
      <w:start w:val="1"/>
      <w:numFmt w:val="lowerLetter"/>
      <w:lvlText w:val="%5)"/>
      <w:lvlJc w:val="left"/>
      <w:pPr>
        <w:ind w:left="3250" w:hanging="440"/>
      </w:pPr>
    </w:lvl>
    <w:lvl w:ilvl="5" w:tentative="0">
      <w:start w:val="1"/>
      <w:numFmt w:val="lowerRoman"/>
      <w:lvlText w:val="%6."/>
      <w:lvlJc w:val="right"/>
      <w:pPr>
        <w:ind w:left="3690" w:hanging="440"/>
      </w:pPr>
    </w:lvl>
    <w:lvl w:ilvl="6" w:tentative="0">
      <w:start w:val="1"/>
      <w:numFmt w:val="decimal"/>
      <w:lvlText w:val="%7."/>
      <w:lvlJc w:val="left"/>
      <w:pPr>
        <w:ind w:left="4130" w:hanging="440"/>
      </w:pPr>
    </w:lvl>
    <w:lvl w:ilvl="7" w:tentative="0">
      <w:start w:val="1"/>
      <w:numFmt w:val="lowerLetter"/>
      <w:lvlText w:val="%8)"/>
      <w:lvlJc w:val="left"/>
      <w:pPr>
        <w:ind w:left="4570" w:hanging="440"/>
      </w:pPr>
    </w:lvl>
    <w:lvl w:ilvl="8" w:tentative="0">
      <w:start w:val="1"/>
      <w:numFmt w:val="lowerRoman"/>
      <w:lvlText w:val="%9."/>
      <w:lvlJc w:val="right"/>
      <w:pPr>
        <w:ind w:left="5010" w:hanging="440"/>
      </w:pPr>
    </w:lvl>
  </w:abstractNum>
  <w:abstractNum w:abstractNumId="3">
    <w:nsid w:val="630C08BD"/>
    <w:multiLevelType w:val="multilevel"/>
    <w:tmpl w:val="630C08BD"/>
    <w:lvl w:ilvl="0" w:tentative="0">
      <w:start w:val="1"/>
      <w:numFmt w:val="decimal"/>
      <w:lvlText w:val="%1)"/>
      <w:lvlJc w:val="left"/>
      <w:pPr>
        <w:ind w:left="420" w:firstLine="573"/>
      </w:pPr>
      <w:rPr>
        <w:rFonts w:hint="eastAsia"/>
      </w:rPr>
    </w:lvl>
    <w:lvl w:ilvl="1" w:tentative="0">
      <w:start w:val="1"/>
      <w:numFmt w:val="decimalEnclosedCircle"/>
      <w:lvlText w:val="%2"/>
      <w:lvlJc w:val="left"/>
      <w:pPr>
        <w:ind w:left="1430" w:hanging="360"/>
      </w:pPr>
      <w:rPr>
        <w:rFonts w:hint="default" w:cs="宋体"/>
      </w:rPr>
    </w:lvl>
    <w:lvl w:ilvl="2" w:tentative="0">
      <w:start w:val="1"/>
      <w:numFmt w:val="lowerRoman"/>
      <w:lvlText w:val="%3."/>
      <w:lvlJc w:val="right"/>
      <w:pPr>
        <w:ind w:left="1950" w:hanging="440"/>
      </w:pPr>
    </w:lvl>
    <w:lvl w:ilvl="3" w:tentative="0">
      <w:start w:val="1"/>
      <w:numFmt w:val="decimal"/>
      <w:lvlText w:val="%4."/>
      <w:lvlJc w:val="left"/>
      <w:pPr>
        <w:ind w:left="2390" w:hanging="440"/>
      </w:pPr>
    </w:lvl>
    <w:lvl w:ilvl="4" w:tentative="0">
      <w:start w:val="1"/>
      <w:numFmt w:val="lowerLetter"/>
      <w:lvlText w:val="%5)"/>
      <w:lvlJc w:val="left"/>
      <w:pPr>
        <w:ind w:left="2830" w:hanging="440"/>
      </w:pPr>
    </w:lvl>
    <w:lvl w:ilvl="5" w:tentative="0">
      <w:start w:val="1"/>
      <w:numFmt w:val="lowerRoman"/>
      <w:lvlText w:val="%6."/>
      <w:lvlJc w:val="right"/>
      <w:pPr>
        <w:ind w:left="3270" w:hanging="440"/>
      </w:pPr>
    </w:lvl>
    <w:lvl w:ilvl="6" w:tentative="0">
      <w:start w:val="1"/>
      <w:numFmt w:val="decimal"/>
      <w:lvlText w:val="%7."/>
      <w:lvlJc w:val="left"/>
      <w:pPr>
        <w:ind w:left="3710" w:hanging="440"/>
      </w:pPr>
    </w:lvl>
    <w:lvl w:ilvl="7" w:tentative="0">
      <w:start w:val="1"/>
      <w:numFmt w:val="lowerLetter"/>
      <w:lvlText w:val="%8)"/>
      <w:lvlJc w:val="left"/>
      <w:pPr>
        <w:ind w:left="4150" w:hanging="440"/>
      </w:pPr>
    </w:lvl>
    <w:lvl w:ilvl="8" w:tentative="0">
      <w:start w:val="1"/>
      <w:numFmt w:val="lowerRoman"/>
      <w:lvlText w:val="%9."/>
      <w:lvlJc w:val="right"/>
      <w:pPr>
        <w:ind w:left="4590" w:hanging="440"/>
      </w:pPr>
    </w:lvl>
  </w:abstractNum>
  <w:abstractNum w:abstractNumId="4">
    <w:nsid w:val="6941431F"/>
    <w:multiLevelType w:val="multilevel"/>
    <w:tmpl w:val="6941431F"/>
    <w:lvl w:ilvl="0" w:tentative="0">
      <w:start w:val="1"/>
      <w:numFmt w:val="japaneseCounting"/>
      <w:lvlText w:val="%1、"/>
      <w:lvlJc w:val="left"/>
      <w:pPr>
        <w:ind w:left="878" w:hanging="456"/>
      </w:pPr>
      <w:rPr>
        <w:rFonts w:hint="default"/>
      </w:rPr>
    </w:lvl>
    <w:lvl w:ilvl="1" w:tentative="0">
      <w:start w:val="1"/>
      <w:numFmt w:val="lowerLetter"/>
      <w:lvlText w:val="%2)"/>
      <w:lvlJc w:val="left"/>
      <w:pPr>
        <w:ind w:left="1302" w:hanging="440"/>
      </w:pPr>
    </w:lvl>
    <w:lvl w:ilvl="2" w:tentative="0">
      <w:start w:val="1"/>
      <w:numFmt w:val="lowerRoman"/>
      <w:lvlText w:val="%3."/>
      <w:lvlJc w:val="right"/>
      <w:pPr>
        <w:ind w:left="1742" w:hanging="440"/>
      </w:pPr>
    </w:lvl>
    <w:lvl w:ilvl="3" w:tentative="0">
      <w:start w:val="1"/>
      <w:numFmt w:val="decimal"/>
      <w:lvlText w:val="%4."/>
      <w:lvlJc w:val="left"/>
      <w:pPr>
        <w:ind w:left="2182" w:hanging="440"/>
      </w:pPr>
    </w:lvl>
    <w:lvl w:ilvl="4" w:tentative="0">
      <w:start w:val="1"/>
      <w:numFmt w:val="lowerLetter"/>
      <w:lvlText w:val="%5)"/>
      <w:lvlJc w:val="left"/>
      <w:pPr>
        <w:ind w:left="2622" w:hanging="440"/>
      </w:pPr>
    </w:lvl>
    <w:lvl w:ilvl="5" w:tentative="0">
      <w:start w:val="1"/>
      <w:numFmt w:val="lowerRoman"/>
      <w:lvlText w:val="%6."/>
      <w:lvlJc w:val="right"/>
      <w:pPr>
        <w:ind w:left="3062" w:hanging="440"/>
      </w:pPr>
    </w:lvl>
    <w:lvl w:ilvl="6" w:tentative="0">
      <w:start w:val="1"/>
      <w:numFmt w:val="decimal"/>
      <w:lvlText w:val="%7."/>
      <w:lvlJc w:val="left"/>
      <w:pPr>
        <w:ind w:left="3502" w:hanging="440"/>
      </w:pPr>
    </w:lvl>
    <w:lvl w:ilvl="7" w:tentative="0">
      <w:start w:val="1"/>
      <w:numFmt w:val="lowerLetter"/>
      <w:lvlText w:val="%8)"/>
      <w:lvlJc w:val="left"/>
      <w:pPr>
        <w:ind w:left="3942" w:hanging="440"/>
      </w:pPr>
    </w:lvl>
    <w:lvl w:ilvl="8" w:tentative="0">
      <w:start w:val="1"/>
      <w:numFmt w:val="lowerRoman"/>
      <w:lvlText w:val="%9."/>
      <w:lvlJc w:val="right"/>
      <w:pPr>
        <w:ind w:left="4382" w:hanging="440"/>
      </w:pPr>
    </w:lvl>
  </w:abstractNum>
  <w:abstractNum w:abstractNumId="5">
    <w:nsid w:val="6A811288"/>
    <w:multiLevelType w:val="multilevel"/>
    <w:tmpl w:val="6A811288"/>
    <w:lvl w:ilvl="0" w:tentative="0">
      <w:start w:val="1"/>
      <w:numFmt w:val="decimal"/>
      <w:lvlText w:val="%1)"/>
      <w:lvlJc w:val="left"/>
      <w:pPr>
        <w:ind w:left="57" w:firstLine="573"/>
      </w:pPr>
      <w:rPr>
        <w:rFonts w:hint="eastAsia"/>
      </w:rPr>
    </w:lvl>
    <w:lvl w:ilvl="1" w:tentative="0">
      <w:start w:val="1"/>
      <w:numFmt w:val="decimalEnclosedCircle"/>
      <w:lvlText w:val="%2"/>
      <w:lvlJc w:val="left"/>
      <w:pPr>
        <w:ind w:left="1430" w:hanging="360"/>
      </w:pPr>
      <w:rPr>
        <w:rFonts w:hint="default" w:cs="宋体"/>
      </w:rPr>
    </w:lvl>
    <w:lvl w:ilvl="2" w:tentative="0">
      <w:start w:val="1"/>
      <w:numFmt w:val="lowerRoman"/>
      <w:lvlText w:val="%3."/>
      <w:lvlJc w:val="right"/>
      <w:pPr>
        <w:ind w:left="1950" w:hanging="440"/>
      </w:pPr>
    </w:lvl>
    <w:lvl w:ilvl="3" w:tentative="0">
      <w:start w:val="1"/>
      <w:numFmt w:val="decimal"/>
      <w:lvlText w:val="%4."/>
      <w:lvlJc w:val="left"/>
      <w:pPr>
        <w:ind w:left="2390" w:hanging="440"/>
      </w:pPr>
    </w:lvl>
    <w:lvl w:ilvl="4" w:tentative="0">
      <w:start w:val="1"/>
      <w:numFmt w:val="lowerLetter"/>
      <w:lvlText w:val="%5)"/>
      <w:lvlJc w:val="left"/>
      <w:pPr>
        <w:ind w:left="2830" w:hanging="440"/>
      </w:pPr>
    </w:lvl>
    <w:lvl w:ilvl="5" w:tentative="0">
      <w:start w:val="1"/>
      <w:numFmt w:val="lowerRoman"/>
      <w:lvlText w:val="%6."/>
      <w:lvlJc w:val="right"/>
      <w:pPr>
        <w:ind w:left="3270" w:hanging="440"/>
      </w:pPr>
    </w:lvl>
    <w:lvl w:ilvl="6" w:tentative="0">
      <w:start w:val="1"/>
      <w:numFmt w:val="decimal"/>
      <w:lvlText w:val="%7."/>
      <w:lvlJc w:val="left"/>
      <w:pPr>
        <w:ind w:left="3710" w:hanging="440"/>
      </w:pPr>
    </w:lvl>
    <w:lvl w:ilvl="7" w:tentative="0">
      <w:start w:val="1"/>
      <w:numFmt w:val="lowerLetter"/>
      <w:lvlText w:val="%8)"/>
      <w:lvlJc w:val="left"/>
      <w:pPr>
        <w:ind w:left="4150" w:hanging="440"/>
      </w:pPr>
    </w:lvl>
    <w:lvl w:ilvl="8" w:tentative="0">
      <w:start w:val="1"/>
      <w:numFmt w:val="lowerRoman"/>
      <w:lvlText w:val="%9."/>
      <w:lvlJc w:val="right"/>
      <w:pPr>
        <w:ind w:left="4590" w:hanging="440"/>
      </w:p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EBB"/>
    <w:rsid w:val="00037057"/>
    <w:rsid w:val="000B6184"/>
    <w:rsid w:val="00103CFD"/>
    <w:rsid w:val="001339EC"/>
    <w:rsid w:val="001641CE"/>
    <w:rsid w:val="00175512"/>
    <w:rsid w:val="0018192C"/>
    <w:rsid w:val="001A0EBB"/>
    <w:rsid w:val="001B3494"/>
    <w:rsid w:val="00227645"/>
    <w:rsid w:val="00251A2B"/>
    <w:rsid w:val="002C5CD0"/>
    <w:rsid w:val="002E3935"/>
    <w:rsid w:val="00305670"/>
    <w:rsid w:val="00333F7B"/>
    <w:rsid w:val="00392648"/>
    <w:rsid w:val="003A0738"/>
    <w:rsid w:val="003B5EF2"/>
    <w:rsid w:val="003E4B3B"/>
    <w:rsid w:val="003F7E28"/>
    <w:rsid w:val="00405AD9"/>
    <w:rsid w:val="00437BCE"/>
    <w:rsid w:val="00440262"/>
    <w:rsid w:val="004605FA"/>
    <w:rsid w:val="00464496"/>
    <w:rsid w:val="00472EDC"/>
    <w:rsid w:val="004A617F"/>
    <w:rsid w:val="004B16B2"/>
    <w:rsid w:val="004E3891"/>
    <w:rsid w:val="00511C64"/>
    <w:rsid w:val="0052085F"/>
    <w:rsid w:val="00577F41"/>
    <w:rsid w:val="005F2074"/>
    <w:rsid w:val="005F26F5"/>
    <w:rsid w:val="00641010"/>
    <w:rsid w:val="00661BFB"/>
    <w:rsid w:val="00687333"/>
    <w:rsid w:val="006A1119"/>
    <w:rsid w:val="006C6CE7"/>
    <w:rsid w:val="00717B59"/>
    <w:rsid w:val="007A13D6"/>
    <w:rsid w:val="007C108C"/>
    <w:rsid w:val="00897D0B"/>
    <w:rsid w:val="008B33F5"/>
    <w:rsid w:val="008B73E3"/>
    <w:rsid w:val="00913B07"/>
    <w:rsid w:val="00942E98"/>
    <w:rsid w:val="0099287B"/>
    <w:rsid w:val="009E5EC7"/>
    <w:rsid w:val="00A108A0"/>
    <w:rsid w:val="00A21E64"/>
    <w:rsid w:val="00A2565E"/>
    <w:rsid w:val="00A444E7"/>
    <w:rsid w:val="00A53E49"/>
    <w:rsid w:val="00A63828"/>
    <w:rsid w:val="00A702CF"/>
    <w:rsid w:val="00A9207B"/>
    <w:rsid w:val="00AF0DCB"/>
    <w:rsid w:val="00B4452D"/>
    <w:rsid w:val="00B46DD3"/>
    <w:rsid w:val="00BB3BF6"/>
    <w:rsid w:val="00BC3886"/>
    <w:rsid w:val="00C12840"/>
    <w:rsid w:val="00C13314"/>
    <w:rsid w:val="00C21A82"/>
    <w:rsid w:val="00C42AD2"/>
    <w:rsid w:val="00C614D1"/>
    <w:rsid w:val="00C825D5"/>
    <w:rsid w:val="00C91200"/>
    <w:rsid w:val="00C92A51"/>
    <w:rsid w:val="00D177A2"/>
    <w:rsid w:val="00D74002"/>
    <w:rsid w:val="00DB7B31"/>
    <w:rsid w:val="00DC5D97"/>
    <w:rsid w:val="00EA0D2E"/>
    <w:rsid w:val="00EE6FB2"/>
    <w:rsid w:val="00EF4FD9"/>
    <w:rsid w:val="00F023B2"/>
    <w:rsid w:val="00F1479C"/>
    <w:rsid w:val="00FB0697"/>
    <w:rsid w:val="2D4F0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ody Text"/>
    <w:basedOn w:val="1"/>
    <w:link w:val="39"/>
    <w:autoRedefine/>
    <w:qFormat/>
    <w:uiPriority w:val="0"/>
    <w:pPr>
      <w:spacing w:before="156" w:beforeLines="50" w:line="276" w:lineRule="auto"/>
      <w:ind w:right="42" w:rightChars="20" w:firstLine="420" w:firstLineChars="200"/>
    </w:pPr>
    <w:rPr>
      <w:rFonts w:ascii="宋体" w:hAnsi="宋体" w:eastAsia="宋体" w:cs="宋体"/>
      <w:szCs w:val="21"/>
      <w14:ligatures w14:val="none"/>
    </w:r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0"/>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59"/>
    <w:pPr>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3"/>
    <w:semiHidden/>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5"/>
    <w:semiHidden/>
    <w:qFormat/>
    <w:uiPriority w:val="9"/>
    <w:rPr>
      <w:rFonts w:cstheme="majorBidi"/>
      <w:color w:val="104862" w:themeColor="accent1" w:themeShade="BF"/>
      <w:sz w:val="28"/>
      <w:szCs w:val="28"/>
    </w:rPr>
  </w:style>
  <w:style w:type="character" w:customStyle="1" w:styleId="23">
    <w:name w:val="标题 5 字符"/>
    <w:basedOn w:val="18"/>
    <w:link w:val="6"/>
    <w:semiHidden/>
    <w:uiPriority w:val="9"/>
    <w:rPr>
      <w:rFonts w:cstheme="majorBidi"/>
      <w:color w:val="104862" w:themeColor="accent1" w:themeShade="BF"/>
      <w:sz w:val="24"/>
      <w:szCs w:val="24"/>
    </w:rPr>
  </w:style>
  <w:style w:type="character" w:customStyle="1" w:styleId="24">
    <w:name w:val="标题 6 字符"/>
    <w:basedOn w:val="18"/>
    <w:link w:val="7"/>
    <w:semiHidden/>
    <w:uiPriority w:val="9"/>
    <w:rPr>
      <w:rFonts w:cstheme="majorBidi"/>
      <w:b/>
      <w:bCs/>
      <w:color w:val="104862"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uiPriority w:val="30"/>
    <w:rPr>
      <w:i/>
      <w:iCs/>
      <w:color w:val="104862" w:themeColor="accent1" w:themeShade="BF"/>
    </w:rPr>
  </w:style>
  <w:style w:type="character" w:customStyle="1" w:styleId="36">
    <w:name w:val="Intense Reference"/>
    <w:basedOn w:val="18"/>
    <w:qFormat/>
    <w:uiPriority w:val="32"/>
    <w:rPr>
      <w:b/>
      <w:bCs/>
      <w:smallCaps/>
      <w:color w:val="104862"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 w:type="character" w:customStyle="1" w:styleId="39">
    <w:name w:val="正文文本 字符"/>
    <w:basedOn w:val="18"/>
    <w:link w:val="11"/>
    <w:qFormat/>
    <w:uiPriority w:val="0"/>
    <w:rPr>
      <w:rFonts w:ascii="宋体" w:hAnsi="宋体" w:eastAsia="宋体" w:cs="宋体"/>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2E9CB8"/>
      </a:accent2>
      <a:accent3>
        <a:srgbClr val="E97132"/>
      </a:accent3>
      <a:accent4>
        <a:srgbClr val="196B24"/>
      </a:accent4>
      <a:accent5>
        <a:srgbClr val="4EA72E"/>
      </a:accent5>
      <a:accent6>
        <a:srgbClr val="C80724"/>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48EDF-27CB-4463-9049-8BB3C26D766E}">
  <ds:schemaRefs/>
</ds:datastoreItem>
</file>

<file path=docProps/app.xml><?xml version="1.0" encoding="utf-8"?>
<Properties xmlns="http://schemas.openxmlformats.org/officeDocument/2006/extended-properties" xmlns:vt="http://schemas.openxmlformats.org/officeDocument/2006/docPropsVTypes">
  <Template>Normal.dotm</Template>
  <Pages>5</Pages>
  <Words>3564</Words>
  <Characters>3847</Characters>
  <Lines>262</Lines>
  <Paragraphs>263</Paragraphs>
  <TotalTime>340</TotalTime>
  <ScaleCrop>false</ScaleCrop>
  <LinksUpToDate>false</LinksUpToDate>
  <CharactersWithSpaces>4262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2026-01-06T05:15:00Z</dcterms:created>
  <dc:creator>lhc h</dc:creator>
  <cp:lastModifiedBy>A香草菲菲</cp:lastModifiedBy>
  <dcterms:modified xsi:type="dcterms:W3CDTF">2026-07-01T01:34:37Z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eyJoZGlkIjoiZjhiYzU4YTcyZjE1YjljMzJhNDJiZTI0NzE1NmFkYWUiLCJ1c2VySWQiOiI0NjAwOTI4NzkifQ==</vt:lpwstr>
  </property>
  <property fmtid="{D5CDD505-2E9C-101B-9397-08002B2CF9AE}" pid="3" name="KSOProductBuildVer">
    <vt:lpwstr>2052-12.1.0.26895</vt:lpwstr>
  </property>
  <property fmtid="{D5CDD505-2E9C-101B-9397-08002B2CF9AE}" pid="4" name="ICV">
    <vt:lpwstr>927A0AD139464A3FAD37E3244D7DEBD5_12</vt:lpwstr>
  </property>
</Properties>
</file>